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商業需求文件（BRD）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一人創業的服務先行 GEO 產品：從可成交問題到可重複收入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不應以『台灣唯一 GEO 工具』競爭，而應以『適合建站工作室轉售、證據可追溯、對小商家說人話』建立窄而清楚的切入點。前 6 個月的任務不是衝 1,000 個免費網域，而是證明一條能獲利且可重複的漏斗：診斷 → 留資 → 付費修正 → 驗收 → 轉介紹。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核心決策  </w:t>
      </w:r>
      <w:r>
        <w:rPr>
          <w:rFonts w:ascii="Calibri" w:hAnsi="Calibri" w:eastAsia="Microsoft JhengHei"/>
          <w:color w:val="1F2933"/>
        </w:rPr>
        <w:t>先賣標準化修正服務，再把高頻、可自動化的交付內容產品化。未達 20 個付費試點前，不投入完整帳號、訂閱與跨引擎監控後台。</w:t>
      </w:r>
    </w:p>
    <w:p>
      <w:pPr>
        <w:pStyle w:val="Heading1"/>
        <w:keepNext/>
        <w:keepLines/>
      </w:pPr>
      <w:r>
        <w:t>2. 商業問題與客戶工作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60"/>
        <w:gridCol w:w="2100"/>
        <w:gridCol w:w="25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客群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真正要完成的工作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購買觸發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不購買原因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回答客戶『網站上線後，為何 AI 找不到』並增加後續收入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交站、續約或流量抱怨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怕交付不可控、報告像 AI 套版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本地服務商家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知道網站卡在哪，取得可交給網站商的修正清單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品牌被誤解、競品被推薦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不懂 GEO、看不到直接回報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跨境獨立站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檢查繁中內容與結構是否可被 AI 正確理解與引用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開拓華語市場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平台結果波動、預算優先給投放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第一灘頭市場建議選擇 3 家建站工作室作為設計夥伴，再由其導入 10–20 個商家案例。法律、醫療與金融等高監管垂直先不承諾內容成效，只提供技術診斷。</w:t>
      </w:r>
    </w:p>
    <w:p>
      <w:pPr>
        <w:pStyle w:val="Heading1"/>
        <w:keepNext/>
        <w:keepLines/>
      </w:pPr>
      <w:r>
        <w:t>3. 價值主張與定位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元素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決策版敘述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產品定位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台灣繁體網站的 AI 搜尋可讀性健檢與修正工作台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核心承諾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指出可驗證的網站問題，附證據與交付步驟；不保證排名或流量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差異化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繁中在地語境、規則可解釋、建站工作室可轉交、修前修後可驗收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品牌身分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GEOCheck／GeoLab 獨立產品實驗室；不虛構團隊規模或資歷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不做什麼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不做全域行銷代理、不承諾 AI 平台引用、不替代 SEO 基礎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收益模型與價格實驗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20"/>
        <w:gridCol w:w="1700"/>
        <w:gridCol w:w="309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3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建議價格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目的／門檻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首頁技術掃描、五類分數、3 項優先問題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建立信任；不需留資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完整報告解鎖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完整證據表、修正範本、報告下載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 Email＋明確同意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衡量高意圖名單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試點修正包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個首頁＋Schema／robots／sitemap 建議＋修後驗收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NT$4,900–8,900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個工作天；每月限量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渠道批次包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 網站額度、共同品牌報告、月度檢討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先報價試點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完成 3 家設計夥伴後定價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監控訂閱 Beta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月度重跑、差異報告、異常提醒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NT$990–1,990／月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留存率與成本驗證後上線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定價修正理由  </w:t>
      </w:r>
      <w:r>
        <w:rPr>
          <w:rFonts w:ascii="Calibri" w:hAnsi="Calibri" w:eastAsia="Microsoft JhengHei"/>
          <w:color w:val="1F2933"/>
        </w:rPr>
        <w:t>原 2,990 元含三頁重寫與 24 小時交付，未計入人工審稿、溝通與返工。新方案縮小範圍並保留 QA 毛利。</w:t>
      </w:r>
    </w:p>
    <w:p>
      <w:pPr>
        <w:pStyle w:val="Heading1"/>
        <w:keepNext/>
        <w:keepLines/>
      </w:pPr>
      <w:r>
        <w:t>5. 單位經濟模型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每個付費訂單都必須記錄實際工時與外部 API 成本。以下是驗證模型，不是已達成財務數據。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300"/>
        <w:gridCol w:w="2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試點目標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計算方式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停損線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每單貢獻毛利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售價－金流－API－可變人工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連續 5 單 &lt; 50%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人工交付時間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≤ 2.5 小時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診斷、修改、QA、溝通總和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&gt; 4 小時則縮範圍／漲價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免費→留資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有效留資／有效健檢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5% 檢討價值呈現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留資→付費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付費試點／有效留資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8% 訪談拒絕原因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渠道回購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天內 ≥ 40%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第二筆訂單工作室／首購工作室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20% 暫緩白標開發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六個月目標與階段閘門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480"/>
        <w:gridCol w:w="298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時間</w:t>
            </w:r>
          </w:p>
        </w:tc>
        <w:tc>
          <w:tcPr>
            <w:tcW w:type="dxa" w:w="3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必要成果</w:t>
            </w:r>
          </w:p>
        </w:tc>
        <w:tc>
          <w:tcPr>
            <w:tcW w:type="dxa" w:w="2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Go／No-Go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1–4 週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 12 家工作室、完成 3 家設計夥伴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 家承認問題且 ≥ 3 家願意導入案例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2–3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個試點、追蹤工時／成本／拒絕原因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8 個付費，貢獻毛利 ≥ 50%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4–6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3–5 家穩定渠道、30 個累積付費站點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天渠道複購 ≥ 40%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SaaS 判定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監控需求、留存意願與技術成本證據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家願付月費才建完整訂閱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核心 KPI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北極星指標：每月『完成修正並通過修後驗收』的網站數，而非單純健檢次數。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獲客：有效健檢、報告解鎖率、渠道來源占比、每個合格名單成本。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成交：試點成交率、平均客單、成交週期、拒絕原因。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交付：每單工時、準時率、修正採用率、修前修後技術分差。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留存：渠道複購、監控試用轉付費、月度流失、轉介紹率。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可信度：未知訊號比例、錯誤判定率、客訴／退款率。</w:t>
      </w:r>
    </w:p>
    <w:p>
      <w:pPr>
        <w:pStyle w:val="Heading1"/>
        <w:keepNext/>
        <w:keepLines/>
      </w:pPr>
      <w:r>
        <w:t>8. 營運流程與責任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3060"/>
        <w:gridCol w:w="330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步驟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SLA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自動化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人工責任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90 秒目標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抓取、規則評分、快取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例外審查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即時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同意紀錄、來源標記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回覆高意圖名單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資格確認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需求問卷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確認範圍、風險與報價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模板、差異報告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內容核對與最終 QA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交付後 7 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重跑檢測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說明未知與未解問題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風險、控制與誠信邊界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700"/>
        <w:gridCol w:w="4080"/>
        <w:gridCol w:w="193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風險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影響</w:t>
            </w:r>
          </w:p>
        </w:tc>
        <w:tc>
          <w:tcPr>
            <w:tcW w:type="dxa" w:w="4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平台規則變動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評分過時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版本化規則、官方來源、季度覆核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錯誤成效承諾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退款與信任損害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只承諾交付與技術驗收，不承諾排名／流量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銷售／交付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個資與名單外洩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法遵與聲譽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最小蒐集、告知、保存期限、刪除流程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資料負責人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SSRF／濫用掃描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基礎設施風險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封鎖私網、DNS 重綁防護、限流與日誌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開發者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一人產能不足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逾期與品質下降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限量接單、固定範圍、3 日 SLA、候補名單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品牌誤導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合作信任損害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如實揭露為獨立產品實驗室，不虛構團隊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30／60／90 天行動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9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期間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證據產出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0–30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次訪談、3 家設計夥伴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快取、留資同意、可追蹤 CTA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訪談紀錄、漏斗基線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31–60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 8–12 個付費試點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修前修後報告、範本生成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工時、毛利、採用率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61–90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渠道複購與價格 A/B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批次匯出雛形、來源面板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案例研究、渠道回購率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明確停止條件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12 家工作室訪談後，若少於 3 家願意導入真實客戶案例，停止白標／渠道功能開發。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20 個報價後，若付費率低於 10%，先重做定位與交付，不擴大流量。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連續 5 個付費案貢獻毛利低於 50%，停止 24 小時／低價承諾，縮小範圍或提高價格。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無法合法、穩定且可重現地量測跨引擎引用時，不販售『即時 AI 能見度』訂閱。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實作狀態更新（BRD）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商業決策：在 Gemini 尚未於正式部署區域驗證前，對外銷售應定位為「AI 搜尋可讀性／技術整備度健檢與修正」，不可承諾 Gemini 引用、曝光或流量成果。成本台帳已可支援每單 API 成本與毛利的實際記錄。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GEOCheck｜BRD｜1.0（決策版）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law.moj.gov.tw/LawClass/LawAll.aspx?pcode=I0050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