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 w:after="280"/>
      </w:pPr>
      <w:r>
        <w:rPr>
          <w:rFonts w:ascii="Calibri" w:hAnsi="Calibri" w:eastAsia="Microsoft JhengHei"/>
          <w:b/>
          <w:color w:val="2E74B5"/>
          <w:sz w:val="26"/>
        </w:rPr>
        <w:t>GEOCHECK</w:t>
      </w:r>
    </w:p>
    <w:p>
      <w:pPr>
        <w:spacing w:after="240"/>
      </w:pPr>
      <w:r>
        <w:rPr>
          <w:rFonts w:ascii="Calibri" w:hAnsi="Calibri" w:eastAsia="Microsoft JhengHei"/>
          <w:b/>
          <w:color w:val="0B2545"/>
          <w:sz w:val="54"/>
        </w:rPr>
        <w:t>產品需求文件（PRD）</w:t>
      </w:r>
    </w:p>
    <w:p>
      <w:pPr>
        <w:spacing w:after="560"/>
      </w:pPr>
      <w:r>
        <w:rPr>
          <w:rFonts w:ascii="Calibri" w:hAnsi="Calibri" w:eastAsia="Microsoft JhengHei"/>
          <w:color w:val="5E6B78"/>
          <w:sz w:val="28"/>
        </w:rPr>
        <w:t>從規則型健檢到可成交、可驗收的 GEOCheck 業務閉環</w:t>
      </w:r>
    </w:p>
    <w:p>
      <w:pPr>
        <w:spacing w:before="140" w:after="180" w:line="264" w:lineRule="auto"/>
        <w:ind w:left="173" w:right="173"/>
        <w:shd w:fill="E8EEF5"/>
        <w:pBdr>
          <w:left w:val="single" w:sz="18" w:space="6" w:color="0B2545"/>
        </w:pBdr>
      </w:pPr>
      <w:r>
        <w:rPr>
          <w:rFonts w:ascii="Calibri" w:hAnsi="Calibri" w:eastAsia="Microsoft JhengHei"/>
          <w:b/>
          <w:color w:val="0B2545"/>
        </w:rPr>
        <w:t xml:space="preserve">文件定位  </w:t>
      </w:r>
      <w:r>
        <w:rPr>
          <w:rFonts w:ascii="Calibri" w:hAnsi="Calibri" w:eastAsia="Microsoft JhengHei"/>
          <w:color w:val="1F2933"/>
        </w:rPr>
        <w:t>供產品負責人、合作夥伴與開發者共同決策；所有數字均區分為已知事實、內部假設或待驗證目標。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欄位</w:t>
            </w:r>
          </w:p>
        </w:tc>
        <w:tc>
          <w:tcPr>
            <w:tcW w:type="dxa" w:w="7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內容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版本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1.0（決策版）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日期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2026 年 7 月 13 日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產品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GEOCheck 台灣 AI 搜尋能見度健檢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營運模式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一人 OPC、服務先行、渠道驗證後再 SaaS 化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文件狀態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可執行基線；每月依證據更新</w:t>
            </w:r>
          </w:p>
        </w:tc>
      </w:tr>
    </w:tbl>
    <w:p>
      <w:pPr>
        <w:spacing w:after="40"/>
      </w:pPr>
    </w:p>
    <w:p>
      <w:r/>
    </w:p>
    <w:p>
      <w:pPr>
        <w:pStyle w:val="Heading1"/>
        <w:keepNext/>
        <w:keepLines/>
      </w:pPr>
      <w:r>
        <w:t>文件導讀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本文件刻意把『已證實』與『想像中的市場』分開。讀者可先看執行摘要與決策門檻，再依需要進入市場、產品或營運細節。</w:t>
      </w:r>
    </w:p>
    <w:p>
      <w:pPr>
        <w:spacing w:before="140" w:after="180" w:line="264" w:lineRule="auto"/>
        <w:ind w:left="173" w:right="173"/>
        <w:shd w:fill="FFF6D9"/>
        <w:pBdr>
          <w:left w:val="single" w:sz="18" w:space="6" w:color="7A5A00"/>
        </w:pBdr>
      </w:pPr>
      <w:r>
        <w:rPr>
          <w:rFonts w:ascii="Calibri" w:hAnsi="Calibri" w:eastAsia="Microsoft JhengHei"/>
          <w:b/>
          <w:color w:val="7A5A00"/>
        </w:rPr>
        <w:t xml:space="preserve">證據標記  </w:t>
      </w:r>
      <w:r>
        <w:rPr>
          <w:rFonts w:ascii="Calibri" w:hAnsi="Calibri" w:eastAsia="Microsoft JhengHei"/>
          <w:color w:val="1F2933"/>
        </w:rPr>
        <w:t>A＝官方或一手資料；B＝競品公開資料；C＝內部觀察；H＝待驗證假設。競品自述不視為獨立成效證據。</w:t>
      </w:r>
    </w:p>
    <w:p>
      <w:pPr>
        <w:pStyle w:val="Heading1"/>
        <w:keepNext/>
        <w:keepLines/>
      </w:pPr>
      <w:r>
        <w:t>1. 產品摘要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GEOCheck 是繁體中文網站的 AI 搜尋可讀性健檢與修正工作台。V1 的產品重點不是宣稱能預測 ChatGPT 或 Gemini 的引用，而是把可觀測的公開網站訊號轉為可解釋分數、證據與修正步驟，並建立留資與付費服務閉環。</w:t>
      </w:r>
    </w:p>
    <w:p>
      <w:pPr>
        <w:spacing w:before="140" w:after="180" w:line="264" w:lineRule="auto"/>
        <w:ind w:left="173" w:right="173"/>
        <w:shd w:fill="E8EEF5"/>
        <w:pBdr>
          <w:left w:val="single" w:sz="18" w:space="6" w:color="0B2545"/>
        </w:pBdr>
      </w:pPr>
      <w:r>
        <w:rPr>
          <w:rFonts w:ascii="Calibri" w:hAnsi="Calibri" w:eastAsia="Microsoft JhengHei"/>
          <w:b/>
          <w:color w:val="0B2545"/>
        </w:rPr>
        <w:t xml:space="preserve">產品原則  </w:t>
      </w:r>
      <w:r>
        <w:rPr>
          <w:rFonts w:ascii="Calibri" w:hAnsi="Calibri" w:eastAsia="Microsoft JhengHei"/>
          <w:color w:val="1F2933"/>
        </w:rPr>
        <w:t>未知就標未知；爬蟲政策與搜尋能見度分開；不因迎合 AI 破壞 Google SEO；每個建議附可驗收證據；不輸出無依據的流量提升百分比。</w:t>
      </w:r>
    </w:p>
    <w:p>
      <w:pPr>
        <w:pStyle w:val="Heading1"/>
        <w:keepNext/>
        <w:keepLines/>
      </w:pPr>
      <w:r>
        <w:t>2. 現況盤點（截至 2026-07-13）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440"/>
        <w:gridCol w:w="2640"/>
        <w:gridCol w:w="248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能力</w:t>
            </w:r>
          </w:p>
        </w:tc>
        <w:tc>
          <w:tcPr>
            <w:tcW w:type="dxa" w:w="2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現況</w:t>
            </w:r>
          </w:p>
        </w:tc>
        <w:tc>
          <w:tcPr>
            <w:tcW w:type="dxa" w:w="26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限制</w:t>
            </w:r>
          </w:p>
        </w:tc>
        <w:tc>
          <w:tcPr>
            <w:tcW w:type="dxa" w:w="2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PRD 決策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五類規則評分 V2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已實作 25 條／100 分與分數上限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需持續版本化與案例校準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保留，作為免費核心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真實網站抓取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HTTP＋可選瀏覽器渲染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SSRF／私網防護尚未完整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安全阻擋列為 P0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AI 定位分析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Gemini 3.1 Flash-Lite 失敗時可規則降級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外部模型成本與波動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僅留資／付費層啟用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搜尋情境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Perplexity 可選整合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不等同 ChatGPT／Gemini 真實引用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清楚標註資料來源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報告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記憶體暫存＋HTML／Markdown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重啟即失效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試點前導入持久化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留資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Email 表單＋JSONL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告知、來源、興趣與保存期不足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本輪補齊基礎同意欄位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快取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尚無 7 天業務快取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重複成本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本輪實作記憶體 TTL；後續 Redis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付款／帳號／訂閱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未實作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不宜過早建置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20 個付費試點後再決策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3. 目標與非目標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本版目標</w:t>
            </w:r>
          </w:p>
        </w:tc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非目標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讓使用者 90 秒內得到可解釋的免費健檢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保證 AI 推薦、排名或流量提升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降低重複網域檢測成本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一次建置完整會員與付款系統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取得合規、可歸因的高意圖留資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蒐集不必要的個人資料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讓建站工作室能把修正清單交給客戶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取代顧問或網站開發者的專業判斷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以修前修後證據驗收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用單次生成式回答宣稱長期趨勢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4. 使用者與核心流程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800"/>
        <w:gridCol w:w="3220"/>
        <w:gridCol w:w="2640"/>
      </w:tblGrid>
      <w:tr>
        <w:trPr>
          <w:tblHeader w:val="true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入口</w:t>
            </w:r>
          </w:p>
        </w:tc>
        <w:tc>
          <w:tcPr>
            <w:tcW w:type="dxa" w:w="32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主要任務</w:t>
            </w:r>
          </w:p>
        </w:tc>
        <w:tc>
          <w:tcPr>
            <w:tcW w:type="dxa" w:w="26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完成定義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商家老闆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免費健檢</w:t>
            </w:r>
          </w:p>
        </w:tc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知道最先改哪三件事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能把步驟轉交網站設計師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建站工作室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健檢／渠道連結</w:t>
            </w:r>
          </w:p>
        </w:tc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產出可交付證據並加購修正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客戶理解範圍並完成驗收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營運者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名單與報告</w:t>
            </w:r>
          </w:p>
        </w:tc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辨識高意圖、報價、追蹤工時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漏斗與毛利可計算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開發者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規則與測試</w:t>
            </w:r>
          </w:p>
        </w:tc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更新判斷而不破壞既有分數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版本、理由、邊界案例齊全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Microsoft JhengHei"/>
          <w:i w:val="0"/>
        </w:rPr>
        <w:t>核心旅程：輸入網址 → 安全檢查 → 快取命中或執行抓取 → 規則評分 → 預覽報告 → 留資解鎖完整證據／預約 → 固定範圍報價 → 修正 → 重跑驗收。</w:t>
      </w:r>
    </w:p>
    <w:p>
      <w:pPr>
        <w:pStyle w:val="Heading1"/>
        <w:keepNext/>
        <w:keepLines/>
      </w:pPr>
      <w:r>
        <w:t>5. 權限與成本分層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200"/>
        <w:gridCol w:w="2100"/>
        <w:gridCol w:w="2160"/>
        <w:gridCol w:w="1300"/>
      </w:tblGrid>
      <w:tr>
        <w:trPr>
          <w:tblHeader w:val="true"/>
        </w:trPr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層級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規則運算</w:t>
            </w:r>
          </w:p>
        </w:tc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LLM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搜尋／引擎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資料保存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匿名免費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完整技術規則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無；必要時僅本地降級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無真實引擎承諾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7 天快取、去識別日誌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留資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完整證據與範本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單次輕量定位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可選 Perplexity 情境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依告知期間保存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付費修正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修前／修後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內容草稿，人工審核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限定測試集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專案期間＋驗收期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監控 Beta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定期差異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依事件觸發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可重現的固定查詢集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訂閱期間＋刪除政策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6. 功能需求：Now（可立即執行）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050"/>
        <w:gridCol w:w="3420"/>
        <w:gridCol w:w="1990"/>
      </w:tblGrid>
      <w:tr>
        <w:trPr>
          <w:tblHeader w:val="true"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ID</w:t>
            </w:r>
          </w:p>
        </w:tc>
        <w:tc>
          <w:tcPr>
            <w:tcW w:type="dxa" w:w="3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需求</w:t>
            </w:r>
          </w:p>
        </w:tc>
        <w:tc>
          <w:tcPr>
            <w:tcW w:type="dxa" w:w="34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驗收條件</w:t>
            </w:r>
          </w:p>
        </w:tc>
        <w:tc>
          <w:tcPr>
            <w:tcW w:type="dxa" w:w="199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業務價值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P0-01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同一正規化網域 7 天快取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回傳 hit、age、expiresAt；命中不呼叫模型／抓取</w:t>
            </w:r>
          </w:p>
        </w:tc>
        <w:tc>
          <w:tcPr>
            <w:tcW w:type="dxa" w:w="199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降低成本與等待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P0-02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快取不繞過濫用限制；可由環境變數調整 TTL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TTL=0 可停用；回應仍可追蹤</w:t>
            </w:r>
          </w:p>
        </w:tc>
        <w:tc>
          <w:tcPr>
            <w:tcW w:type="dxa" w:w="199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營運可控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P0-03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留資必須有明確同意與目的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未勾同意回 400；保存 consentVersion、source、interest</w:t>
            </w:r>
          </w:p>
        </w:tc>
        <w:tc>
          <w:tcPr>
            <w:tcW w:type="dxa" w:w="199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降低個資風險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P0-04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首頁直接呈現試點服務範圍與價格區間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CTA 可送出 interest=pilot_fix_pack</w:t>
            </w:r>
          </w:p>
        </w:tc>
        <w:tc>
          <w:tcPr>
            <w:tcW w:type="dxa" w:w="199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讓流量可成交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P0-05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每次健檢記錄漏斗事件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audit_started／completed／cache_hit／lead_submitted</w:t>
            </w:r>
          </w:p>
        </w:tc>
        <w:tc>
          <w:tcPr>
            <w:tcW w:type="dxa" w:w="199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建立決策數據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P0-06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封鎖私網與不安全 URL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localhost、RFC1918、link-local、非 http(s) 拒絕</w:t>
            </w:r>
          </w:p>
        </w:tc>
        <w:tc>
          <w:tcPr>
            <w:tcW w:type="dxa" w:w="199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避免 SSRF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7. 功能需求：Next（付費試點後）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4900"/>
        <w:gridCol w:w="3460"/>
      </w:tblGrid>
      <w:tr>
        <w:trPr>
          <w:tblHeader w:val="true"/>
        </w:trPr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ID</w:t>
            </w:r>
          </w:p>
        </w:tc>
        <w:tc>
          <w:tcPr>
            <w:tcW w:type="dxa" w:w="4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需求</w:t>
            </w:r>
          </w:p>
        </w:tc>
        <w:tc>
          <w:tcPr>
            <w:tcW w:type="dxa" w:w="3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啟動門檻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P1-01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報告與名單持久化資料庫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首批付費試點前；含備份與刪除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P1-02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修前／修後差異報告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至少 5 個付費案確認驗收格式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P1-03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llms.txt、Organization／Service Schema 草稿生成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人工審查 SOP 完成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P1-04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渠道來源與共同品牌報告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3 家設計夥伴完成導案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P1-05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批次 5 網域檢測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單站成本與限流穩定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8. 功能需求：Later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700"/>
        <w:gridCol w:w="34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能力</w:t>
            </w:r>
          </w:p>
        </w:tc>
        <w:tc>
          <w:tcPr>
            <w:tcW w:type="dxa" w:w="3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必要前提</w:t>
            </w:r>
          </w:p>
        </w:tc>
        <w:tc>
          <w:tcPr>
            <w:tcW w:type="dxa" w:w="3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不提前做的理由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帳號與訂閱金流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≥ 15 家明確月費意願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避免為未驗證留存需求建基礎設施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跨引擎週期監控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合法、穩定、可重現的資料取得方式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單次結果波動且 API 成本不確定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行業專屬權重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每垂直至少 30–50 個標註案例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小樣本權重易製造假精準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AI 內容生成器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付費修正資料證明內容是瓶頸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先確保事實、審核與品牌風險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9. 評分與建議規格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V2 維持 100 分制：抓取與存取 30、可發現性 15、語義理解 20、可讀性 20、可引用性 15。權重理由：先確保可抓取，再評估 AI 是否能理解與引用；社群分享標籤不是主要索引訊號，不應高權重。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2100"/>
        <w:gridCol w:w="4910"/>
      </w:tblGrid>
      <w:tr>
        <w:trPr>
          <w:tblHeader w:val="true"/>
        </w:trPr>
        <w:tc>
          <w:tcPr>
            <w:tcW w:type="dxa" w:w="2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規則</w:t>
            </w:r>
          </w:p>
        </w:tc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產品行為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白話建議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首頁抓取失敗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總分上限 25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請網站設計師先確認網站是否能從外部正常開啟。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noindex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總分上限 35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網站目前掛著『不要收錄』牌子，請先移除再談曝光。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Googlebot 全站封鎖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總分上限 35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robots.txt 把 Google 擋在門外，請修改後再重測。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文字少於 100 字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總分上限 42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首頁幾乎沒有可讀文字，請補上服務、地區與聯絡方式。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特定 crawler 文件不足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標記未知，不給肯定結論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目前官方資料不足；請依官方文件與測試結果判斷。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10. 非功能需求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面向</w:t>
            </w:r>
          </w:p>
        </w:tc>
        <w:tc>
          <w:tcPr>
            <w:tcW w:type="dxa" w:w="7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需求／SLO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效能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快取命中 p95 &lt; 1 秒；新健檢目標 ≤ 90 秒，逾時提供可重試訊息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可用性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外部模型失敗時回傳規則報告，不把失敗偽裝成完整 AI 結論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安全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URL allowlist、私網／metadata IP 阻擋、DNS 解析後再檢查、輸入長度與限流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隱私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遵循最小蒐集；告知蒐集者、目的、類別、期間／地區／對象／方式、權利與不提供影響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可觀測性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requestId、algorithmVersion、provider、latency、cache、錯誤階段；不記錄敏感內容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可解釋性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每項分數附輸入證據、規則版本與 50 字內權重理由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相容性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不建議 cloaking、不為 AI 犧牲可存取性與 Google SEO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資料駐留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『台灣伺服器』是營運選擇而非自動等同合規；跨境處理需在告知與供應商盤點中揭露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11. 資料模型（MVP）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760"/>
        <w:gridCol w:w="2900"/>
      </w:tblGrid>
      <w:tr>
        <w:trPr>
          <w:tblHeader w:val="true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實體</w:t>
            </w:r>
          </w:p>
        </w:tc>
        <w:tc>
          <w:tcPr>
            <w:tcW w:type="dxa" w:w="4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必要欄位</w:t>
            </w:r>
          </w:p>
        </w:tc>
        <w:tc>
          <w:tcPr>
            <w:tcW w:type="dxa" w:w="2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保存／注意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AuditReport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id、normalizedUrl、algorithmVersion、scores、evidence、createdAt、cache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公開網站資料；設定 TTL 與刪除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Lead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id、email、site、interest、source、consentVersion、consentedAt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個資；限制存取、可查詢／刪除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FunnelEvent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event、timestamp、source、reportId、匿名 session／requestId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避免放 Email 與頁面全文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RuleVersion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version、ruleId、weight、reason、source、effectiveAt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不可覆寫歷史，確保報告可重現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12. 分析事件與漏斗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200"/>
        <w:gridCol w:w="4160"/>
      </w:tblGrid>
      <w:tr>
        <w:trPr>
          <w:tblHeader w:val="true"/>
        </w:trPr>
        <w:tc>
          <w:tcPr>
            <w:tcW w:type="dxa" w:w="2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事件</w:t>
            </w:r>
          </w:p>
        </w:tc>
        <w:tc>
          <w:tcPr>
            <w:tcW w:type="dxa" w:w="3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觸發</w:t>
            </w:r>
          </w:p>
        </w:tc>
        <w:tc>
          <w:tcPr>
            <w:tcW w:type="dxa" w:w="4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必要屬性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audit_started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驗證 URL 後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source、normalizedHost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audit_cache_hit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7 天內命中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ageSeconds、algorithmVersion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audit_completed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報告成功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latencyMs、score、provider、cacheHit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report_viewed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開啟報告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reportId、source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lead_submitted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同意且表單成功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interest、source、reportId（不送 email 到分析工具）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pilot_quoted／won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人工更新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priceBand、channel、cycleDays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13. 驗收案例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4100"/>
        <w:gridCol w:w="2660"/>
      </w:tblGrid>
      <w:tr>
        <w:trPr>
          <w:tblHeader w:val="true"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案例</w:t>
            </w:r>
          </w:p>
        </w:tc>
        <w:tc>
          <w:tcPr>
            <w:tcW w:type="dxa" w:w="4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預期行為</w:t>
            </w:r>
          </w:p>
        </w:tc>
        <w:tc>
          <w:tcPr>
            <w:tcW w:type="dxa" w:w="2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合理性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只有圖片的咖啡廳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低分並受文字量上限；指出替代文字、服務與地區文字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合理：可開啟不等於可理解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JavaScript SPA 民宿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比較原始與渲染後內容；有內容則不誤判空站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合理：反映不同爬蟲渲染能力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robots.txt Disallow: /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辨識針對哪些 bot；Googlebot 阻擋觸發上限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合理：分開搜尋索引與模型訓練 bot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robots.txt 回 401／403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標記 unknown，不得視為 allowed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需修正的已知邊界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同網域 7 天內重跑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回傳快取且不呼叫外部模型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控制成本並縮短等待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14. 發布計畫與回滾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400"/>
        <w:gridCol w:w="3500"/>
        <w:gridCol w:w="1960"/>
      </w:tblGrid>
      <w:tr>
        <w:trPr>
          <w:tblHeader w:val="true"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階段</w:t>
            </w:r>
          </w:p>
        </w:tc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範圍</w:t>
            </w:r>
          </w:p>
        </w:tc>
        <w:tc>
          <w:tcPr>
            <w:tcW w:type="dxa" w:w="3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通過條件</w:t>
            </w:r>
          </w:p>
        </w:tc>
        <w:tc>
          <w:tcPr>
            <w:tcW w:type="dxa" w:w="1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回滾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內部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快取、同意欄位、事件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自動測試＋3 邊界案例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TTL=0、關閉新 CTA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設計夥伴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3 家工作室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無 P0 安全錯誤、名單可歸因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退回免費報告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公開 Beta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限量免費健檢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錯誤率 &lt; 5%、成本在預算內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限流／暫停 LLM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付費試點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固定範圍服務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合約、退款、交付與隱私文字確認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停止接單、不影響既有驗收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15. 開放問題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哪些建站平台最常出現且最值得先做修正範本？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留資使用 Email、LINE 或兩者，哪個在渠道情境轉換最好？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付費客戶最願意為『修改』、『驗收』或『監控』哪一段付費？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外部搜尋／模型測試的合法穩定取得方式與每次成本是多少？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資料庫與 hosting 供應商的實際地區、DPA、備份與刪除能力為何？</w:t>
      </w:r>
    </w:p>
    <w:p>
      <w:pPr>
        <w:pStyle w:val="Heading1"/>
        <w:keepNext/>
        <w:keepLines/>
      </w:pPr>
      <w:r>
        <w:t>參考資料與查核說明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資料查核截止日為 2026 年 7 月 13 日。下列連結用於支持市場、法規與技術邊界；產品成效仍須由 GEOCheck 自有試點資料驗證。</w:t>
      </w:r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1. </w:t>
      </w:r>
      <w:hyperlink r:id="rId11">
        <w:r>
          <w:rPr>
            <w:rFonts w:ascii="Calibri" w:hAnsi="Calibri" w:eastAsia="Microsoft JhengHei"/>
            <w:color w:val="2E74B5"/>
            <w:u w:val="single"/>
          </w:rPr>
          <w:t>經濟部中小及新創企業署：《2025 年中小企業白皮書》</w:t>
        </w:r>
      </w:hyperlink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2. </w:t>
      </w:r>
      <w:hyperlink r:id="rId12">
        <w:r>
          <w:rPr>
            <w:rFonts w:ascii="Calibri" w:hAnsi="Calibri" w:eastAsia="Microsoft JhengHei"/>
            <w:color w:val="2E74B5"/>
            <w:u w:val="single"/>
          </w:rPr>
          <w:t>Google 台灣：AI 模式以繁體中文在台灣推出</w:t>
        </w:r>
      </w:hyperlink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3. </w:t>
      </w:r>
      <w:hyperlink r:id="rId13">
        <w:r>
          <w:rPr>
            <w:rFonts w:ascii="Calibri" w:hAnsi="Calibri" w:eastAsia="Microsoft JhengHei"/>
            <w:color w:val="2E74B5"/>
            <w:u w:val="single"/>
          </w:rPr>
          <w:t>OpenAI：Publishers and developers FAQ</w:t>
        </w:r>
      </w:hyperlink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4. </w:t>
      </w:r>
      <w:hyperlink r:id="rId14">
        <w:r>
          <w:rPr>
            <w:rFonts w:ascii="Calibri" w:hAnsi="Calibri" w:eastAsia="Microsoft JhengHei"/>
            <w:color w:val="2E74B5"/>
            <w:u w:val="single"/>
          </w:rPr>
          <w:t>Anthropic：網站爬蟲與封鎖方式</w:t>
        </w:r>
      </w:hyperlink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5. </w:t>
      </w:r>
      <w:hyperlink r:id="rId15">
        <w:r>
          <w:rPr>
            <w:rFonts w:ascii="Calibri" w:hAnsi="Calibri" w:eastAsia="Microsoft JhengHei"/>
            <w:color w:val="2E74B5"/>
            <w:u w:val="single"/>
          </w:rPr>
          <w:t>Google Search Central：Google crawlers</w:t>
        </w:r>
      </w:hyperlink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6. </w:t>
      </w:r>
      <w:hyperlink r:id="rId16">
        <w:r>
          <w:rPr>
            <w:rFonts w:ascii="Calibri" w:hAnsi="Calibri" w:eastAsia="Microsoft JhengHei"/>
            <w:color w:val="2E74B5"/>
            <w:u w:val="single"/>
          </w:rPr>
          <w:t>Google Search Central：JavaScript SEO basics</w:t>
        </w:r>
      </w:hyperlink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7. </w:t>
      </w:r>
      <w:hyperlink r:id="rId17">
        <w:r>
          <w:rPr>
            <w:rFonts w:ascii="Calibri" w:hAnsi="Calibri" w:eastAsia="Microsoft JhengHei"/>
            <w:color w:val="2E74B5"/>
            <w:u w:val="single"/>
          </w:rPr>
          <w:t>全國法規資料庫：《個人資料保護法》</w:t>
        </w:r>
      </w:hyperlink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8. </w:t>
      </w:r>
      <w:hyperlink r:id="rId18">
        <w:r>
          <w:rPr>
            <w:rFonts w:ascii="Calibri" w:hAnsi="Calibri" w:eastAsia="Microsoft JhengHei"/>
            <w:color w:val="2E74B5"/>
            <w:u w:val="single"/>
          </w:rPr>
          <w:t>geomkt.app：台灣 GEO SaaS 業者公開頁面</w:t>
        </w:r>
      </w:hyperlink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9. </w:t>
      </w:r>
      <w:hyperlink r:id="rId19">
        <w:r>
          <w:rPr>
            <w:rFonts w:ascii="Calibri" w:hAnsi="Calibri" w:eastAsia="Microsoft JhengHei"/>
            <w:color w:val="2E74B5"/>
            <w:u w:val="single"/>
          </w:rPr>
          <w:t>Welly GEO 工具</w:t>
        </w:r>
      </w:hyperlink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10. </w:t>
      </w:r>
      <w:hyperlink r:id="rId20">
        <w:r>
          <w:rPr>
            <w:rFonts w:ascii="Calibri" w:hAnsi="Calibri" w:eastAsia="Microsoft JhengHei"/>
            <w:color w:val="2E74B5"/>
            <w:u w:val="single"/>
          </w:rPr>
          <w:t>GeoWeb AI Search Visibility Platform</w:t>
        </w:r>
      </w:hyperlink>
    </w:p>
    <w:p>
      <w:r>
        <w:br w:type="page"/>
      </w:r>
    </w:p>
    <w:p>
      <w:pPr>
        <w:spacing w:after="240"/>
      </w:pPr>
      <w:r>
        <w:rPr>
          <w:rFonts w:ascii="Calibri" w:hAnsi="Calibri" w:eastAsia="Microsoft JhengHei"/>
          <w:b/>
          <w:color w:val="0B2545"/>
          <w:sz w:val="36"/>
        </w:rPr>
        <w:t>2026-07-14 實作狀態更新（PRD）</w:t>
      </w:r>
    </w:p>
    <w:p>
      <w:pPr>
        <w:spacing w:after="140" w:line="300" w:lineRule="auto"/>
      </w:pPr>
      <w:r>
        <w:rPr>
          <w:rFonts w:ascii="Calibri" w:hAnsi="Calibri" w:eastAsia="Microsoft JhengHei"/>
          <w:b w:val="0"/>
          <w:color w:val="1F2933"/>
          <w:sz w:val="20"/>
        </w:rPr>
        <w:t>本頁覆蓋本文件中較早的供應商名稱、版本敘述與待驗證假設；以 2026-07-14 的程式碼、測試與供應商連線檢查為準。任何未公開或未驗證的 AI 引用行為一律標示為未知。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shd w:fill="0B2545"/>
            <w:vAlign w:val="center"/>
          </w:tcPr>
          <w:p>
            <w:r>
              <w:rPr>
                <w:rFonts w:ascii="Calibri" w:hAnsi="Calibr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944"/>
            <w:shd w:fill="0B2545"/>
            <w:vAlign w:val="center"/>
          </w:tcPr>
          <w:p>
            <w:r>
              <w:rPr>
                <w:rFonts w:ascii="Calibri" w:hAnsi="Calibri" w:eastAsia="Microsoft JhengHei"/>
                <w:b/>
                <w:color w:val="FFFFFF"/>
                <w:sz w:val="18"/>
              </w:rPr>
              <w:t>目前狀態</w:t>
            </w:r>
          </w:p>
        </w:tc>
        <w:tc>
          <w:tcPr>
            <w:tcW w:type="dxa" w:w="5184"/>
            <w:shd w:fill="0B2545"/>
            <w:vAlign w:val="center"/>
          </w:tcPr>
          <w:p>
            <w:r>
              <w:rPr>
                <w:rFonts w:ascii="Calibri" w:hAnsi="Calibri" w:eastAsia="Microsoft JhengHei"/>
                <w:b/>
                <w:color w:val="FFFFFF"/>
                <w:sz w:val="18"/>
              </w:rPr>
              <w:t>判定依據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規則評分與爬蟲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已驗證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核心分數由多頁抓取、技術訊號與確定性規則決定；自動測試通過。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Perplexity Sonar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已啟用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真實供應商連線成功；用於網站公開脈絡與來源探索，不改寫核心分數。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Gemini 3.1 Flash-Lite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部署待驗證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程式與設定已接通，但目前執行位置收到 HTTP 400：User location is not supported for the API use。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模型失敗降級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已驗證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Gemini 不可用時回傳本地確定性報告，AI 定位標記為未驗證。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成本與私有後台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已驗證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已記錄 token、延遲、狀態與預估成本；私有路徑加密碼雙層保護。</w:t>
            </w:r>
          </w:p>
        </w:tc>
      </w:tr>
    </w:tbl>
    <w:p>
      <w:pPr>
        <w:spacing w:after="140" w:line="300" w:lineRule="auto"/>
      </w:pPr>
      <w:r>
        <w:rPr>
          <w:rFonts w:ascii="Calibri" w:hAnsi="Calibri" w:eastAsia="Microsoft JhengHei"/>
          <w:b w:val="0"/>
          <w:color w:val="1F2933"/>
          <w:sz w:val="20"/>
        </w:rPr>
        <w:t>PRD 驗收條件新增：正式部署後，`POST /api/test-provider` 必須成功回傳 Gemini 模型與延遲；若未成功，系統必須維持本地降級與明確限制說明。私有成本後台使用 `ADMIN_PATH_TOKEN` 與 `ADMIN_TOKEN`，不提供公開入口。</w:t>
      </w:r>
    </w:p>
    <w:p>
      <w:pPr>
        <w:spacing w:after="140" w:line="300" w:lineRule="auto"/>
      </w:pPr>
      <w:r>
        <w:rPr>
          <w:rFonts w:ascii="Calibri" w:hAnsi="Calibri" w:eastAsia="Microsoft JhengHei"/>
          <w:b w:val="0"/>
          <w:color w:val="1F2933"/>
          <w:sz w:val="20"/>
        </w:rPr>
        <w:t>上線前條件：部署平台必須設定 GEMINI_API_KEY、PERPLEXITY_API_KEY、ADMIN_PATH_TOKEN、ADMIN_TOKEN；Gemini 請求需位於支援區域或改用 Vertex AI。成本單價為預估參數，須以供應商帳單校正。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color w:val="5E6B78"/>
        <w:sz w:val="18"/>
      </w:rPr>
      <w:t xml:space="preserve">第 </w:t>
    </w:r>
    <w:fldSimple w:instr="PAGE"/>
    <w:r>
      <w:rPr>
        <w:rFonts w:ascii="Calibri" w:hAnsi="Calibri" w:eastAsia="Microsoft JhengHei"/>
        <w:color w:val="5E6B78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JhengHei"/>
        <w:color w:val="5E6B78"/>
        <w:sz w:val="17"/>
      </w:rPr>
      <w:t>GEOCheck｜PRD｜1.0（決策版）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JhengHe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JhengHei"/>
      <w:b/>
      <w:bCs/>
      <w:color w:val="5E6B7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100" w:after="160" w:line="252" w:lineRule="auto"/>
      <w:ind w:left="259" w:right="259"/>
    </w:pPr>
    <w:rPr>
      <w:rFonts w:ascii="Consolas" w:hAnsi="Consolas" w:eastAsia="Microsoft JhengHei"/>
      <w:color w:val="0B254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me.gov.tw/files/13847/EB0374F3-F6B7-48DB-8B4A-614F60A095F4" TargetMode="External"/><Relationship Id="rId12" Type="http://schemas.openxmlformats.org/officeDocument/2006/relationships/hyperlink" Target="https://blog.google/intl/zh-tw/products/explore-get-answers/ai-mode-zhtw/" TargetMode="External"/><Relationship Id="rId13" Type="http://schemas.openxmlformats.org/officeDocument/2006/relationships/hyperlink" Target="https://help.openai.com/en/articles/12627856-publishers-and-developers-faq" TargetMode="External"/><Relationship Id="rId14" Type="http://schemas.openxmlformats.org/officeDocument/2006/relationships/hyperlink" Target="https://support.claude.com/en/articles/8896518-does-anthropic-crawl-data-from-the-web-and-how-can-site-owners-block-the-crawler" TargetMode="External"/><Relationship Id="rId15" Type="http://schemas.openxmlformats.org/officeDocument/2006/relationships/hyperlink" Target="https://developers.google.com/crawling/docs/crawlers-fetchers/google-common-crawlers" TargetMode="External"/><Relationship Id="rId16" Type="http://schemas.openxmlformats.org/officeDocument/2006/relationships/hyperlink" Target="https://developers.google.com/search/docs/crawling-indexing/javascript/javascript-seo-basics" TargetMode="External"/><Relationship Id="rId17" Type="http://schemas.openxmlformats.org/officeDocument/2006/relationships/hyperlink" Target="https://law.moj.gov.tw/LawClass/LawAll.aspx?pcode=I0050021" TargetMode="External"/><Relationship Id="rId18" Type="http://schemas.openxmlformats.org/officeDocument/2006/relationships/hyperlink" Target="https://geomkt.app/" TargetMode="External"/><Relationship Id="rId19" Type="http://schemas.openxmlformats.org/officeDocument/2006/relationships/hyperlink" Target="https://geo.welly.tw/" TargetMode="External"/><Relationship Id="rId20" Type="http://schemas.openxmlformats.org/officeDocument/2006/relationships/hyperlink" Target="https://geoweb.tw/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GeoCheck V2.1 current implementation and deployment status</dc:subject>
  <dc:creator>python-docx</dc:creator>
  <cp:keywords/>
  <dc:description>Updated 2026-07-14 with verified provider, deployment, cost, and private admin status.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