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MEPS HC-252（Panel 27 纵向公共使用文件）</w:t>
        <w:br/>
        <w:t>中文全译文</w:t>
      </w:r>
    </w:p>
    <w:p>
      <w:pPr>
        <w:jc w:val="center"/>
      </w:pPr>
      <w:r>
        <w:rPr>
          <w:sz w:val="22"/>
        </w:rPr>
        <w:t>Medical Expenditure Panel Survey — Panel 27 Longitudinal Public Use File (Release: Sep 2025)</w:t>
        <w:br/>
      </w:r>
    </w:p>
    <w:p/>
    <w:p>
      <w:pPr>
        <w:pStyle w:val="Heading1"/>
      </w:pPr>
      <w:r>
        <w:t>目录 / 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A. 数据使用协议（Data Use Agreement）</w:t>
      </w:r>
    </w:p>
    <w:p>
      <w:r>
        <w:t>本数据文件已去除可识别个体的标识符。依据《公共卫生服务法》，AHRQ 与 NCHS 所收集的数据只能用于其提供之目的；任何试图识别个体/机构身份的行为均被禁止。使用者不得将数据用于统计分析与报告之外的用途。如偶然识别出身份信息，必须停止使用并向 AHRQ 报告，并按要求保护或销毁，不得对外披露。不得尝试将本数据与 MEPS 或 NHIS 之外的可识别记录链接；MEPS 与 NHIS 的链接仅可在 AHRQ 数据中心、NCHS 研究数据中心或美国人口普查局 RDC 网络内进行。</w:t>
      </w:r>
    </w:p>
    <w:p>
      <w:pPr>
        <w:pStyle w:val="Heading1"/>
      </w:pPr>
      <w:r>
        <w:t>B. 背景（Background）</w:t>
      </w:r>
    </w:p>
    <w:p>
      <w:pPr>
        <w:pStyle w:val="Heading2"/>
      </w:pPr>
      <w:r>
        <w:t>1. 家庭部分（Household Component, HC）</w:t>
      </w:r>
    </w:p>
    <w:p>
      <w:r>
        <w:t>MEPS 针对“美国民用非机构化人口”提供在医疗使用、支出、支付来源、医保覆盖等方面的全国代表性估计，并包含健康状况、人口与社会经济特征、就业、就医可及性与满意度等。HC 采用 5 次访谈、覆盖 2 个自然年；CAPI 入户面访，家庭由一位应答者集中报告。样本来自上一年 NHIS 子样本；做全国估计必须使用权重。</w:t>
      </w:r>
    </w:p>
    <w:p>
      <w:pPr>
        <w:pStyle w:val="Heading2"/>
      </w:pPr>
      <w:r>
        <w:t>2. 医疗服务提供者部分（Medical Provider Component, MPC）</w:t>
      </w:r>
    </w:p>
    <w:p>
      <w:r>
        <w:t>在家庭许可下，对医疗服务提供者电话收集就诊日期、诊断/操作编码、收费与支付金额等，药房子部分（PC）收集 NDC、药名与支付金额；MPC 主要用于费用插补，并非直接产出全国估计。</w:t>
      </w:r>
    </w:p>
    <w:p>
      <w:pPr>
        <w:pStyle w:val="Heading1"/>
      </w:pPr>
      <w:r>
        <w:t>C. 技术与编程信息（Technical and Programming Information）</w:t>
      </w:r>
    </w:p>
    <w:p>
      <w:pPr>
        <w:pStyle w:val="Heading2"/>
      </w:pPr>
      <w:r>
        <w:t>1. 通用信息（General Information）</w:t>
      </w:r>
    </w:p>
    <w:p>
      <w:r>
        <w:t>HC-252（Panel 27）提供 2022–2023 两年期的全国代表性信息，共 2,648 个变量，适于两年变化分析；发布为 ASCII（含各统计软件读取语句）、SAS 传输、SAS V9、Stata、Excel 等格式。</w:t>
      </w:r>
    </w:p>
    <w:p>
      <w:pPr>
        <w:pStyle w:val="Heading2"/>
      </w:pPr>
      <w:r>
        <w:t>2. 数据文件信息（Data File Information）</w:t>
      </w:r>
    </w:p>
    <w:p>
      <w:r>
        <w:t>文件含 8,292 名个体（仅纳入在 2022 或 2023 年度整合文件中个人层权重为正者）。其中 94.21%（7,812 人）在 5 轮访谈均有数据，另有 5.79%（480 人）仅完成部分轮次（在参与轮次中处于“在范围”）。为补偿样本流失，纵向权重 LONGWT 已做调整；两年期全国估计时应使用 LONGWT。</w:t>
      </w:r>
    </w:p>
    <w:p>
      <w:pPr>
        <w:pStyle w:val="Heading3"/>
      </w:pPr>
      <w:r>
        <w:t>2.1 变量（Variables）</w:t>
      </w:r>
    </w:p>
    <w:p>
      <w:r>
        <w:t>2.1.1 来自年度整合文件的变量与重命名：年度后缀 22/23 → Y1/Y2（如 TOTEXP22→TOTEXPY1、TOTEXP23→TOTEXPY2；AGE22X→AGEY1X、AGE23X→AGEY2X）；轮次 31/42/53 → 纵向的 1/2/3（2023 文件中的 31/42/53 对应 3/4/5）；月度“月份+22/23”→“月份+Y1/Y2”；年末 1231 → Y1/Y2；常量变量（DUPERSID、PANEL、SEX 等）不变。</w:t>
      </w:r>
    </w:p>
    <w:p>
      <w:pPr>
        <w:pStyle w:val="Heading3"/>
      </w:pPr>
      <w:r>
        <w:t>2.1.2 选样用构造变量：</w:t>
      </w:r>
    </w:p>
    <w:p>
      <w:r>
        <w:t>包括 YEARIND（1=两年都在；2=仅2022；3=仅2023）、ALL5RDS（五轮全在，0/1）、DIED（死亡）、INST（机构化）、MILITARY（现役）、ENTRSRVY（面板开始后进入）、LEFTUS（迁出美国）、OTHER（其他）。主分析常用 YEARIND=1 与 ALL5RDS=1。</w:t>
      </w:r>
    </w:p>
    <w:p>
      <w:pPr>
        <w:pStyle w:val="Heading3"/>
      </w:pPr>
      <w:r>
        <w:t>2.1.3 估计变量（Estimation Variables）</w:t>
      </w:r>
    </w:p>
    <w:p>
      <w:r>
        <w:t>LONGWT：两年期纵向权重，用于对参与 2022 与 2023 两年的样本产生全国估计（包括两年变化与两年期/逐年横断面）；VARSTR、VARPSU：复杂抽样方差估计所需的分层与主抽样单元；SAQ 的两年分析使用 LSAQWT；合并多面板时参照 HC-036 的一致化方差结构。</w:t>
      </w:r>
    </w:p>
    <w:p>
      <w:pPr>
        <w:pStyle w:val="Heading1"/>
      </w:pPr>
      <w:r>
        <w:t>中英术语对照（Glossary）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中文术语</w:t>
            </w:r>
          </w:p>
        </w:tc>
        <w:tc>
          <w:tcPr>
            <w:tcW w:type="dxa" w:w="4320"/>
          </w:tcPr>
          <w:p>
            <w:r>
              <w:t>English Term</w:t>
            </w:r>
          </w:p>
        </w:tc>
      </w:tr>
      <w:tr>
        <w:tc>
          <w:tcPr>
            <w:tcW w:type="dxa" w:w="4320"/>
          </w:tcPr>
          <w:p>
            <w:r>
              <w:t>民用非机构化人口</w:t>
            </w:r>
          </w:p>
        </w:tc>
        <w:tc>
          <w:tcPr>
            <w:tcW w:type="dxa" w:w="4320"/>
          </w:tcPr>
          <w:p>
            <w:r>
              <w:t>U.S. civilian noninstitutionalized population</w:t>
            </w:r>
          </w:p>
        </w:tc>
      </w:tr>
      <w:tr>
        <w:tc>
          <w:tcPr>
            <w:tcW w:type="dxa" w:w="4320"/>
          </w:tcPr>
          <w:p>
            <w:r>
              <w:t>机构化</w:t>
            </w:r>
          </w:p>
        </w:tc>
        <w:tc>
          <w:tcPr>
            <w:tcW w:type="dxa" w:w="4320"/>
          </w:tcPr>
          <w:p>
            <w:r>
              <w:t>Institutionalized</w:t>
            </w:r>
          </w:p>
        </w:tc>
      </w:tr>
      <w:tr>
        <w:tc>
          <w:tcPr>
            <w:tcW w:type="dxa" w:w="4320"/>
          </w:tcPr>
          <w:p>
            <w:r>
              <w:t>纵向权重</w:t>
            </w:r>
          </w:p>
        </w:tc>
        <w:tc>
          <w:tcPr>
            <w:tcW w:type="dxa" w:w="4320"/>
          </w:tcPr>
          <w:p>
            <w:r>
              <w:t>Longitudinal weight (LONGWT)</w:t>
            </w:r>
          </w:p>
        </w:tc>
      </w:tr>
      <w:tr>
        <w:tc>
          <w:tcPr>
            <w:tcW w:type="dxa" w:w="4320"/>
          </w:tcPr>
          <w:p>
            <w:r>
              <w:t>分层 / 主抽样单元</w:t>
            </w:r>
          </w:p>
        </w:tc>
        <w:tc>
          <w:tcPr>
            <w:tcW w:type="dxa" w:w="4320"/>
          </w:tcPr>
          <w:p>
            <w:r>
              <w:t>Strata (VARSTR) / Primary Sampling Unit (VARPSU)</w:t>
            </w:r>
          </w:p>
        </w:tc>
      </w:tr>
      <w:tr>
        <w:tc>
          <w:tcPr>
            <w:tcW w:type="dxa" w:w="4320"/>
          </w:tcPr>
          <w:p>
            <w:r>
              <w:t>年度整合文件</w:t>
            </w:r>
          </w:p>
        </w:tc>
        <w:tc>
          <w:tcPr>
            <w:tcW w:type="dxa" w:w="4320"/>
          </w:tcPr>
          <w:p>
            <w:r>
              <w:t>Full-Year Consolidated Data File</w:t>
            </w:r>
          </w:p>
        </w:tc>
      </w:tr>
      <w:tr>
        <w:tc>
          <w:tcPr>
            <w:tcW w:type="dxa" w:w="4320"/>
          </w:tcPr>
          <w:p>
            <w:r>
              <w:t>总医疗支出</w:t>
            </w:r>
          </w:p>
        </w:tc>
        <w:tc>
          <w:tcPr>
            <w:tcW w:type="dxa" w:w="4320"/>
          </w:tcPr>
          <w:p>
            <w:r>
              <w:t>Total health care expenditures (TOTEXPY1/TOTEXPY2)</w:t>
            </w:r>
          </w:p>
        </w:tc>
      </w:tr>
      <w:tr>
        <w:tc>
          <w:tcPr>
            <w:tcW w:type="dxa" w:w="4320"/>
          </w:tcPr>
          <w:p>
            <w:r>
              <w:t>年末保险状态</w:t>
            </w:r>
          </w:p>
        </w:tc>
        <w:tc>
          <w:tcPr>
            <w:tcW w:type="dxa" w:w="4320"/>
          </w:tcPr>
          <w:p>
            <w:r>
              <w:t>End-of-year insurance status (INSCY1/INSCY2)</w:t>
            </w:r>
          </w:p>
        </w:tc>
      </w:tr>
      <w:tr>
        <w:tc>
          <w:tcPr>
            <w:tcW w:type="dxa" w:w="4320"/>
          </w:tcPr>
          <w:p>
            <w:r>
              <w:t>月度保险变量</w:t>
            </w:r>
          </w:p>
        </w:tc>
        <w:tc>
          <w:tcPr>
            <w:tcW w:type="dxa" w:w="4320"/>
          </w:tcPr>
          <w:p>
            <w:r>
              <w:t>Monthly insurance variables (e.g., PRIJAY1/PRIJAY2)</w:t>
            </w:r>
          </w:p>
        </w:tc>
      </w:tr>
      <w:tr>
        <w:tc>
          <w:tcPr>
            <w:tcW w:type="dxa" w:w="4320"/>
          </w:tcPr>
          <w:p>
            <w:r>
              <w:t>两部模型</w:t>
            </w:r>
          </w:p>
        </w:tc>
        <w:tc>
          <w:tcPr>
            <w:tcW w:type="dxa" w:w="4320"/>
          </w:tcPr>
          <w:p>
            <w:r>
              <w:t>Two-part model</w:t>
            </w:r>
          </w:p>
        </w:tc>
      </w:tr>
      <w:tr>
        <w:tc>
          <w:tcPr>
            <w:tcW w:type="dxa" w:w="4320"/>
          </w:tcPr>
          <w:p>
            <w:r>
              <w:t>Taylor 线性化</w:t>
            </w:r>
          </w:p>
        </w:tc>
        <w:tc>
          <w:tcPr>
            <w:tcW w:type="dxa" w:w="4320"/>
          </w:tcPr>
          <w:p>
            <w:r>
              <w:t>Taylor linearization</w:t>
            </w:r>
          </w:p>
        </w:tc>
      </w:tr>
      <w:tr>
        <w:tc>
          <w:tcPr>
            <w:tcW w:type="dxa" w:w="4320"/>
          </w:tcPr>
          <w:p>
            <w:r>
              <w:t>复制法 / 自助法</w:t>
            </w:r>
          </w:p>
        </w:tc>
        <w:tc>
          <w:tcPr>
            <w:tcW w:type="dxa" w:w="4320"/>
          </w:tcPr>
          <w:p>
            <w:r>
              <w:t>Replication / Bootstrap</w:t>
            </w:r>
          </w:p>
        </w:tc>
      </w:tr>
      <w:tr>
        <w:tc>
          <w:tcPr>
            <w:tcW w:type="dxa" w:w="4320"/>
          </w:tcPr>
          <w:p>
            <w:r>
              <w:t>自填问卷（SAQ）</w:t>
            </w:r>
          </w:p>
        </w:tc>
        <w:tc>
          <w:tcPr>
            <w:tcW w:type="dxa" w:w="4320"/>
          </w:tcPr>
          <w:p>
            <w:r>
              <w:t>Self-Administered Questionnaire (SAQ)</w:t>
            </w:r>
          </w:p>
        </w:tc>
      </w:tr>
      <w:tr>
        <w:tc>
          <w:tcPr>
            <w:tcW w:type="dxa" w:w="4320"/>
          </w:tcPr>
          <w:p>
            <w:r>
              <w:t>缺失特殊码</w:t>
            </w:r>
          </w:p>
        </w:tc>
        <w:tc>
          <w:tcPr>
            <w:tcW w:type="dxa" w:w="4320"/>
          </w:tcPr>
          <w:p>
            <w:r>
              <w:t>Special codes: -1 Inapplicable, -7 Refused, -8 Don’t know, -9 Not ascertained</w:t>
            </w:r>
          </w:p>
        </w:tc>
      </w:tr>
    </w:tbl>
    <w:p>
      <w:r>
        <w:br w:type="page"/>
      </w:r>
    </w:p>
    <w:p>
      <w:pPr>
        <w:pStyle w:val="Heading1"/>
      </w:pPr>
      <w:r>
        <w:t>附：分析与合规要点（可直接引用）</w:t>
      </w:r>
    </w:p>
    <w:p>
      <w:r>
        <w:t>• 主样本：YEARIND=1 且 ALL5RDS=1。• 全国估计：使用 LONGWT；需要 SE/CI 时声明 VARSTR、VARPSU。• 仅用 Y1 特征预测 Y2；特殊码（-1/-7/-8/-9）视为缺失。• 支出重尾可用 log1p 或两部模型；报告加权指标（Weighted MAE、Weighted AUC）。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