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267F7" w14:textId="77777777" w:rsidR="00A2201A" w:rsidRPr="00DC6EB9" w:rsidRDefault="00A2201A" w:rsidP="00A2201A">
      <w:pPr>
        <w:spacing w:before="100" w:beforeAutospacing="1" w:after="100" w:afterAutospacing="1" w:line="276" w:lineRule="auto"/>
        <w:outlineLvl w:val="1"/>
        <w:rPr>
          <w:rFonts w:ascii="Arial" w:hAnsi="Arial" w:cs="Arial"/>
          <w:b/>
          <w:bCs/>
          <w:sz w:val="20"/>
          <w:szCs w:val="20"/>
        </w:rPr>
      </w:pPr>
      <w:r w:rsidRPr="00DC6EB9">
        <w:rPr>
          <w:rFonts w:ascii="Arial" w:hAnsi="Arial" w:cs="Arial"/>
          <w:b/>
          <w:bCs/>
          <w:sz w:val="20"/>
          <w:szCs w:val="20"/>
        </w:rPr>
        <w:t>1</w:t>
      </w:r>
      <w:r w:rsidRPr="007F4AB5">
        <w:rPr>
          <w:rFonts w:ascii="Arial" w:hAnsi="Arial" w:cs="Arial"/>
          <w:b/>
          <w:bCs/>
          <w:sz w:val="20"/>
          <w:szCs w:val="20"/>
        </w:rPr>
        <w:t>.</w:t>
      </w:r>
      <w:r w:rsidRPr="00DC6EB9">
        <w:rPr>
          <w:rFonts w:ascii="Arial" w:hAnsi="Arial" w:cs="Arial"/>
          <w:b/>
          <w:bCs/>
          <w:sz w:val="20"/>
          <w:szCs w:val="20"/>
        </w:rPr>
        <w:t xml:space="preserve"> Executive Summary</w:t>
      </w:r>
    </w:p>
    <w:p w14:paraId="793297A8" w14:textId="1F77902C" w:rsidR="00A2201A" w:rsidRPr="00DC6EB9" w:rsidRDefault="00A2201A" w:rsidP="00A2201A">
      <w:pPr>
        <w:spacing w:before="100" w:beforeAutospacing="1" w:after="100" w:afterAutospacing="1" w:line="276" w:lineRule="auto"/>
        <w:rPr>
          <w:rFonts w:ascii="Arial" w:hAnsi="Arial" w:cs="Arial"/>
          <w:sz w:val="20"/>
          <w:szCs w:val="20"/>
        </w:rPr>
      </w:pPr>
      <w:r w:rsidRPr="00DC6EB9">
        <w:rPr>
          <w:rFonts w:ascii="Arial" w:hAnsi="Arial" w:cs="Arial"/>
          <w:sz w:val="20"/>
          <w:szCs w:val="20"/>
        </w:rPr>
        <w:t xml:space="preserve">Health systems and insurers face increasing pressure to anticipate which patients are likely to incur very high health care costs or experience serious acute events, such as emergency department (ED) visits or </w:t>
      </w:r>
      <w:r w:rsidRPr="007F4AB5">
        <w:rPr>
          <w:rFonts w:ascii="Arial" w:hAnsi="Arial" w:cs="Arial"/>
          <w:sz w:val="20"/>
          <w:szCs w:val="20"/>
        </w:rPr>
        <w:t>hospitalizations</w:t>
      </w:r>
      <w:r w:rsidRPr="00DC6EB9">
        <w:rPr>
          <w:rFonts w:ascii="Arial" w:hAnsi="Arial" w:cs="Arial"/>
          <w:sz w:val="20"/>
          <w:szCs w:val="20"/>
        </w:rPr>
        <w:t>. Accurate and transparent prediction models can support more proactive care management, better budgeting and fairer allocation of limited resources.</w:t>
      </w:r>
    </w:p>
    <w:p w14:paraId="24F10C35" w14:textId="77777777" w:rsidR="00A2201A" w:rsidRPr="00DC6EB9" w:rsidRDefault="00A2201A" w:rsidP="00A2201A">
      <w:pPr>
        <w:spacing w:before="100" w:beforeAutospacing="1" w:after="100" w:afterAutospacing="1" w:line="276" w:lineRule="auto"/>
        <w:rPr>
          <w:rFonts w:ascii="Arial" w:hAnsi="Arial" w:cs="Arial"/>
          <w:sz w:val="20"/>
          <w:szCs w:val="20"/>
        </w:rPr>
      </w:pPr>
      <w:r w:rsidRPr="00DC6EB9">
        <w:rPr>
          <w:rFonts w:ascii="Arial" w:hAnsi="Arial" w:cs="Arial"/>
          <w:sz w:val="20"/>
          <w:szCs w:val="20"/>
        </w:rPr>
        <w:t xml:space="preserve">This thesis develops and evaluates person-level prediction models using the </w:t>
      </w:r>
      <w:r w:rsidRPr="00DC6EB9">
        <w:rPr>
          <w:rFonts w:ascii="Arial" w:hAnsi="Arial" w:cs="Arial"/>
          <w:b/>
          <w:bCs/>
          <w:sz w:val="20"/>
          <w:szCs w:val="20"/>
        </w:rPr>
        <w:t>Medical Expenditure Panel Survey (MEPS) Household Component</w:t>
      </w:r>
      <w:r w:rsidRPr="00DC6EB9">
        <w:rPr>
          <w:rFonts w:ascii="Arial" w:hAnsi="Arial" w:cs="Arial"/>
          <w:sz w:val="20"/>
          <w:szCs w:val="20"/>
        </w:rPr>
        <w:t xml:space="preserve">, focusing on </w:t>
      </w:r>
      <w:r w:rsidRPr="00DC6EB9">
        <w:rPr>
          <w:rFonts w:ascii="Arial" w:hAnsi="Arial" w:cs="Arial"/>
          <w:b/>
          <w:bCs/>
          <w:sz w:val="20"/>
          <w:szCs w:val="20"/>
        </w:rPr>
        <w:t>Panel 27 (2022–2023)</w:t>
      </w:r>
      <w:r w:rsidRPr="00DC6EB9">
        <w:rPr>
          <w:rFonts w:ascii="Arial" w:hAnsi="Arial" w:cs="Arial"/>
          <w:sz w:val="20"/>
          <w:szCs w:val="20"/>
        </w:rPr>
        <w:t xml:space="preserve"> and its longitudinal public-use file </w:t>
      </w:r>
      <w:r w:rsidRPr="00DC6EB9">
        <w:rPr>
          <w:rFonts w:ascii="Arial" w:hAnsi="Arial" w:cs="Arial"/>
          <w:b/>
          <w:bCs/>
          <w:sz w:val="20"/>
          <w:szCs w:val="20"/>
        </w:rPr>
        <w:t>HC-252</w:t>
      </w:r>
      <w:r w:rsidRPr="00DC6EB9">
        <w:rPr>
          <w:rFonts w:ascii="Arial" w:hAnsi="Arial" w:cs="Arial"/>
          <w:sz w:val="20"/>
          <w:szCs w:val="20"/>
        </w:rPr>
        <w:t>. MEPS is a nationally representative survey of the U.S. civilian non-</w:t>
      </w:r>
      <w:r w:rsidRPr="007F4AB5">
        <w:rPr>
          <w:rFonts w:ascii="Arial" w:hAnsi="Arial" w:cs="Arial"/>
          <w:sz w:val="20"/>
          <w:szCs w:val="20"/>
        </w:rPr>
        <w:t>institutionalized</w:t>
      </w:r>
      <w:r w:rsidRPr="00DC6EB9">
        <w:rPr>
          <w:rFonts w:ascii="Arial" w:hAnsi="Arial" w:cs="Arial"/>
          <w:sz w:val="20"/>
          <w:szCs w:val="20"/>
        </w:rPr>
        <w:t xml:space="preserve"> population that collects detailed information on health status, medical conditions, </w:t>
      </w:r>
      <w:r w:rsidRPr="007F4AB5">
        <w:rPr>
          <w:rFonts w:ascii="Arial" w:hAnsi="Arial" w:cs="Arial"/>
          <w:sz w:val="20"/>
          <w:szCs w:val="20"/>
        </w:rPr>
        <w:t>utilization</w:t>
      </w:r>
      <w:r w:rsidRPr="00DC6EB9">
        <w:rPr>
          <w:rFonts w:ascii="Arial" w:hAnsi="Arial" w:cs="Arial"/>
          <w:sz w:val="20"/>
          <w:szCs w:val="20"/>
        </w:rPr>
        <w:t>, expenditures and insurance coverage through an overlapping panel design with five interviews over two years.</w:t>
      </w:r>
    </w:p>
    <w:p w14:paraId="4E6E109D" w14:textId="77777777" w:rsidR="00A2201A" w:rsidRPr="00DC6EB9" w:rsidRDefault="00A2201A" w:rsidP="00A2201A">
      <w:pPr>
        <w:spacing w:before="100" w:beforeAutospacing="1" w:after="100" w:afterAutospacing="1" w:line="276" w:lineRule="auto"/>
        <w:rPr>
          <w:rFonts w:ascii="Arial" w:hAnsi="Arial" w:cs="Arial"/>
          <w:sz w:val="20"/>
          <w:szCs w:val="20"/>
        </w:rPr>
      </w:pPr>
      <w:r w:rsidRPr="00DC6EB9">
        <w:rPr>
          <w:rFonts w:ascii="Arial" w:hAnsi="Arial" w:cs="Arial"/>
          <w:sz w:val="20"/>
          <w:szCs w:val="20"/>
        </w:rPr>
        <w:t xml:space="preserve">Starting from the full HC-252 file (8,292 individuals and 2,648 variables), </w:t>
      </w:r>
      <w:r w:rsidRPr="007F4AB5">
        <w:rPr>
          <w:rFonts w:ascii="Arial" w:hAnsi="Arial" w:cs="Arial"/>
          <w:sz w:val="20"/>
          <w:szCs w:val="20"/>
        </w:rPr>
        <w:t xml:space="preserve">we </w:t>
      </w:r>
      <w:r w:rsidRPr="00DC6EB9">
        <w:rPr>
          <w:rFonts w:ascii="Arial" w:hAnsi="Arial" w:cs="Arial"/>
          <w:sz w:val="20"/>
          <w:szCs w:val="20"/>
        </w:rPr>
        <w:t xml:space="preserve">first </w:t>
      </w:r>
      <w:r w:rsidRPr="007F4AB5">
        <w:rPr>
          <w:rFonts w:ascii="Arial" w:hAnsi="Arial" w:cs="Arial"/>
          <w:sz w:val="20"/>
          <w:szCs w:val="20"/>
        </w:rPr>
        <w:t>conduct</w:t>
      </w:r>
      <w:r w:rsidRPr="00DC6EB9">
        <w:rPr>
          <w:rFonts w:ascii="Arial" w:hAnsi="Arial" w:cs="Arial"/>
          <w:sz w:val="20"/>
          <w:szCs w:val="20"/>
        </w:rPr>
        <w:t xml:space="preserve"> an extensive exploratory data analysis and constructs a curated set of 103 “core variables” covering demographics, socio-economic </w:t>
      </w:r>
      <w:r w:rsidRPr="007F4AB5">
        <w:rPr>
          <w:rFonts w:ascii="Arial" w:hAnsi="Arial" w:cs="Arial"/>
          <w:sz w:val="20"/>
          <w:szCs w:val="20"/>
        </w:rPr>
        <w:t>status (SES)</w:t>
      </w:r>
      <w:r w:rsidRPr="00DC6EB9">
        <w:rPr>
          <w:rFonts w:ascii="Arial" w:hAnsi="Arial" w:cs="Arial"/>
          <w:sz w:val="20"/>
          <w:szCs w:val="20"/>
        </w:rPr>
        <w:t xml:space="preserve">, insurance coverage, self-reported health, chronic conditions, and yearly </w:t>
      </w:r>
      <w:r w:rsidRPr="007F4AB5">
        <w:rPr>
          <w:rFonts w:ascii="Arial" w:hAnsi="Arial" w:cs="Arial"/>
          <w:sz w:val="20"/>
          <w:szCs w:val="20"/>
        </w:rPr>
        <w:t>utilization</w:t>
      </w:r>
      <w:r w:rsidRPr="00DC6EB9">
        <w:rPr>
          <w:rFonts w:ascii="Arial" w:hAnsi="Arial" w:cs="Arial"/>
          <w:sz w:val="20"/>
          <w:szCs w:val="20"/>
        </w:rPr>
        <w:t xml:space="preserve"> and expenditures. These variables are selected using the official codebooks and documentation for HC-252 and the underlying annual consolidated files </w:t>
      </w:r>
      <w:r w:rsidRPr="00DC6EB9">
        <w:rPr>
          <w:rFonts w:ascii="Arial" w:hAnsi="Arial" w:cs="Arial"/>
          <w:b/>
          <w:bCs/>
          <w:sz w:val="20"/>
          <w:szCs w:val="20"/>
        </w:rPr>
        <w:t>HC-243 (2022)</w:t>
      </w:r>
      <w:r w:rsidRPr="00DC6EB9">
        <w:rPr>
          <w:rFonts w:ascii="Arial" w:hAnsi="Arial" w:cs="Arial"/>
          <w:sz w:val="20"/>
          <w:szCs w:val="20"/>
        </w:rPr>
        <w:t xml:space="preserve"> and </w:t>
      </w:r>
      <w:r w:rsidRPr="00DC6EB9">
        <w:rPr>
          <w:rFonts w:ascii="Arial" w:hAnsi="Arial" w:cs="Arial"/>
          <w:b/>
          <w:bCs/>
          <w:sz w:val="20"/>
          <w:szCs w:val="20"/>
        </w:rPr>
        <w:t>HC-251 (2023)</w:t>
      </w:r>
      <w:r w:rsidRPr="00DC6EB9">
        <w:rPr>
          <w:rFonts w:ascii="Arial" w:hAnsi="Arial" w:cs="Arial"/>
          <w:sz w:val="20"/>
          <w:szCs w:val="20"/>
        </w:rPr>
        <w:t>.</w:t>
      </w:r>
    </w:p>
    <w:p w14:paraId="6F803C30" w14:textId="77777777" w:rsidR="00A2201A" w:rsidRPr="00DC6EB9" w:rsidRDefault="00A2201A" w:rsidP="00A2201A">
      <w:pPr>
        <w:spacing w:before="100" w:beforeAutospacing="1" w:after="100" w:afterAutospacing="1" w:line="276" w:lineRule="auto"/>
        <w:rPr>
          <w:rFonts w:ascii="Arial" w:hAnsi="Arial" w:cs="Arial"/>
          <w:sz w:val="20"/>
          <w:szCs w:val="20"/>
        </w:rPr>
      </w:pPr>
      <w:r w:rsidRPr="00DC6EB9">
        <w:rPr>
          <w:rFonts w:ascii="Arial" w:hAnsi="Arial" w:cs="Arial"/>
          <w:sz w:val="20"/>
          <w:szCs w:val="20"/>
        </w:rPr>
        <w:t>The modelling work then focuses on predicting, from year-1 (2022) information:</w:t>
      </w:r>
    </w:p>
    <w:p w14:paraId="2591DF85" w14:textId="77777777" w:rsidR="00A2201A" w:rsidRPr="00DC6EB9" w:rsidRDefault="00A2201A" w:rsidP="00A2201A">
      <w:pPr>
        <w:numPr>
          <w:ilvl w:val="0"/>
          <w:numId w:val="4"/>
        </w:numPr>
        <w:spacing w:before="100" w:beforeAutospacing="1" w:after="100" w:afterAutospacing="1" w:line="276" w:lineRule="auto"/>
        <w:rPr>
          <w:rFonts w:ascii="Arial" w:hAnsi="Arial" w:cs="Arial"/>
          <w:sz w:val="20"/>
          <w:szCs w:val="20"/>
        </w:rPr>
      </w:pPr>
      <w:r w:rsidRPr="00DC6EB9">
        <w:rPr>
          <w:rFonts w:ascii="Arial" w:hAnsi="Arial" w:cs="Arial"/>
          <w:sz w:val="20"/>
          <w:szCs w:val="20"/>
        </w:rPr>
        <w:t>total health care expenditures in year 2 (2023</w:t>
      </w:r>
      <w:r w:rsidRPr="007F4AB5">
        <w:rPr>
          <w:rFonts w:ascii="Arial" w:hAnsi="Arial" w:cs="Arial"/>
          <w:sz w:val="20"/>
          <w:szCs w:val="20"/>
        </w:rPr>
        <w:t>).</w:t>
      </w:r>
    </w:p>
    <w:p w14:paraId="6838C250" w14:textId="77777777" w:rsidR="00A2201A" w:rsidRPr="00DC6EB9" w:rsidRDefault="00A2201A" w:rsidP="00A2201A">
      <w:pPr>
        <w:numPr>
          <w:ilvl w:val="0"/>
          <w:numId w:val="4"/>
        </w:numPr>
        <w:spacing w:before="100" w:beforeAutospacing="1" w:after="100" w:afterAutospacing="1" w:line="276" w:lineRule="auto"/>
        <w:rPr>
          <w:rFonts w:ascii="Arial" w:hAnsi="Arial" w:cs="Arial"/>
          <w:sz w:val="20"/>
          <w:szCs w:val="20"/>
        </w:rPr>
      </w:pPr>
      <w:r w:rsidRPr="00DC6EB9">
        <w:rPr>
          <w:rFonts w:ascii="Arial" w:hAnsi="Arial" w:cs="Arial"/>
          <w:sz w:val="20"/>
          <w:szCs w:val="20"/>
        </w:rPr>
        <w:t xml:space="preserve">membership in a high-cost group in year </w:t>
      </w:r>
      <w:r w:rsidRPr="007F4AB5">
        <w:rPr>
          <w:rFonts w:ascii="Arial" w:hAnsi="Arial" w:cs="Arial"/>
          <w:sz w:val="20"/>
          <w:szCs w:val="20"/>
        </w:rPr>
        <w:t>2.</w:t>
      </w:r>
    </w:p>
    <w:p w14:paraId="64835E76" w14:textId="77777777" w:rsidR="00A2201A" w:rsidRPr="00DC6EB9" w:rsidRDefault="00A2201A" w:rsidP="00A2201A">
      <w:pPr>
        <w:numPr>
          <w:ilvl w:val="0"/>
          <w:numId w:val="4"/>
        </w:numPr>
        <w:spacing w:before="100" w:beforeAutospacing="1" w:after="100" w:afterAutospacing="1" w:line="276" w:lineRule="auto"/>
        <w:rPr>
          <w:rFonts w:ascii="Arial" w:hAnsi="Arial" w:cs="Arial"/>
          <w:sz w:val="20"/>
          <w:szCs w:val="20"/>
        </w:rPr>
      </w:pPr>
      <w:r w:rsidRPr="00DC6EB9">
        <w:rPr>
          <w:rFonts w:ascii="Arial" w:hAnsi="Arial" w:cs="Arial"/>
          <w:sz w:val="20"/>
          <w:szCs w:val="20"/>
        </w:rPr>
        <w:t>occurrence of any ED visit and any inpatient stay in year 2.</w:t>
      </w:r>
    </w:p>
    <w:p w14:paraId="1ECBC82F" w14:textId="77777777" w:rsidR="00A2201A" w:rsidRPr="00DC6EB9" w:rsidRDefault="00A2201A" w:rsidP="00A2201A">
      <w:pPr>
        <w:spacing w:before="100" w:beforeAutospacing="1" w:after="100" w:afterAutospacing="1" w:line="276" w:lineRule="auto"/>
        <w:rPr>
          <w:rFonts w:ascii="Arial" w:hAnsi="Arial" w:cs="Arial"/>
          <w:sz w:val="20"/>
          <w:szCs w:val="20"/>
        </w:rPr>
      </w:pPr>
      <w:r w:rsidRPr="00DC6EB9">
        <w:rPr>
          <w:rFonts w:ascii="Arial" w:hAnsi="Arial" w:cs="Arial"/>
          <w:sz w:val="20"/>
          <w:szCs w:val="20"/>
        </w:rPr>
        <w:t>Several families of models are compared, including baseline linear and logistic regressions and more flexible machine-learning methods, with particular attention to interpretability, calibration and robustness across socio-demographic subgroups. The thesis also sketches how such models could be embedded into a practical “health outcome predictor” tool to support decision-making in an insurer or health-system context.</w:t>
      </w:r>
    </w:p>
    <w:p w14:paraId="0ACB7B75" w14:textId="77777777" w:rsidR="00A2201A" w:rsidRPr="00DC6EB9" w:rsidRDefault="00A2201A" w:rsidP="00A2201A">
      <w:pPr>
        <w:spacing w:before="100" w:beforeAutospacing="1" w:after="100" w:afterAutospacing="1" w:line="276" w:lineRule="auto"/>
        <w:rPr>
          <w:rFonts w:ascii="Arial" w:hAnsi="Arial" w:cs="Arial"/>
          <w:sz w:val="20"/>
          <w:szCs w:val="20"/>
        </w:rPr>
      </w:pPr>
      <w:r w:rsidRPr="00DC6EB9">
        <w:rPr>
          <w:rFonts w:ascii="Arial" w:hAnsi="Arial" w:cs="Arial"/>
          <w:sz w:val="20"/>
          <w:szCs w:val="20"/>
        </w:rPr>
        <w:t>Beyond the specific numerical results, the main contributions of the thesis are: (</w:t>
      </w:r>
      <w:proofErr w:type="spellStart"/>
      <w:r w:rsidRPr="00DC6EB9">
        <w:rPr>
          <w:rFonts w:ascii="Arial" w:hAnsi="Arial" w:cs="Arial"/>
          <w:sz w:val="20"/>
          <w:szCs w:val="20"/>
        </w:rPr>
        <w:t>i</w:t>
      </w:r>
      <w:proofErr w:type="spellEnd"/>
      <w:r w:rsidRPr="00DC6EB9">
        <w:rPr>
          <w:rFonts w:ascii="Arial" w:hAnsi="Arial" w:cs="Arial"/>
          <w:sz w:val="20"/>
          <w:szCs w:val="20"/>
        </w:rPr>
        <w:t xml:space="preserve">) to demonstrate a transparent and reproducible workflow for building prediction models on complex survey data; (ii) </w:t>
      </w:r>
      <w:r w:rsidRPr="00DC6EB9">
        <w:rPr>
          <w:rFonts w:ascii="Arial" w:hAnsi="Arial" w:cs="Arial"/>
          <w:color w:val="000000" w:themeColor="text1"/>
          <w:sz w:val="20"/>
          <w:szCs w:val="20"/>
        </w:rPr>
        <w:t xml:space="preserve">to </w:t>
      </w:r>
      <w:r w:rsidRPr="00437E16">
        <w:rPr>
          <w:rFonts w:ascii="Arial" w:hAnsi="Arial" w:cs="Arial"/>
          <w:color w:val="000000" w:themeColor="text1"/>
          <w:sz w:val="20"/>
          <w:szCs w:val="20"/>
        </w:rPr>
        <w:t>characterize</w:t>
      </w:r>
      <w:r w:rsidRPr="00DC6EB9">
        <w:rPr>
          <w:rFonts w:ascii="Arial" w:hAnsi="Arial" w:cs="Arial"/>
          <w:color w:val="000000" w:themeColor="text1"/>
          <w:sz w:val="20"/>
          <w:szCs w:val="20"/>
        </w:rPr>
        <w:t xml:space="preserve"> the relative importance of socio-economic, insurance and clinical factors in explaining future costs and acute events</w:t>
      </w:r>
      <w:r w:rsidRPr="00DC6EB9">
        <w:rPr>
          <w:rFonts w:ascii="Arial" w:hAnsi="Arial" w:cs="Arial"/>
          <w:sz w:val="20"/>
          <w:szCs w:val="20"/>
        </w:rPr>
        <w:t>; and (iii) to discuss ethical and fairness considerations in deploying risk prediction models in health care.</w:t>
      </w:r>
    </w:p>
    <w:p w14:paraId="2E26300D" w14:textId="77777777" w:rsidR="00A2201A" w:rsidRDefault="00A2201A" w:rsidP="00D20B01">
      <w:pPr>
        <w:spacing w:before="100" w:beforeAutospacing="1" w:after="100" w:afterAutospacing="1" w:line="276" w:lineRule="auto"/>
        <w:rPr>
          <w:rFonts w:ascii="Arial" w:hAnsi="Arial" w:cs="Arial"/>
          <w:b/>
          <w:bCs/>
          <w:sz w:val="20"/>
          <w:szCs w:val="20"/>
        </w:rPr>
      </w:pPr>
    </w:p>
    <w:p w14:paraId="5E5E9BAF" w14:textId="77777777" w:rsidR="00A2201A" w:rsidRDefault="00A2201A" w:rsidP="00D20B01">
      <w:pPr>
        <w:spacing w:before="100" w:beforeAutospacing="1" w:after="100" w:afterAutospacing="1" w:line="276" w:lineRule="auto"/>
        <w:rPr>
          <w:rFonts w:ascii="Arial" w:hAnsi="Arial" w:cs="Arial"/>
          <w:b/>
          <w:bCs/>
          <w:sz w:val="20"/>
          <w:szCs w:val="20"/>
        </w:rPr>
      </w:pPr>
    </w:p>
    <w:p w14:paraId="5B196B34" w14:textId="77777777" w:rsidR="00A2201A" w:rsidRDefault="00A2201A" w:rsidP="00D20B01">
      <w:pPr>
        <w:spacing w:before="100" w:beforeAutospacing="1" w:after="100" w:afterAutospacing="1" w:line="276" w:lineRule="auto"/>
        <w:rPr>
          <w:rFonts w:ascii="Arial" w:hAnsi="Arial" w:cs="Arial"/>
          <w:b/>
          <w:bCs/>
          <w:sz w:val="20"/>
          <w:szCs w:val="20"/>
        </w:rPr>
      </w:pPr>
    </w:p>
    <w:p w14:paraId="6FDAD69B" w14:textId="6E876422"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4. Phase I – Exploratory Data Analysis</w:t>
      </w:r>
    </w:p>
    <w:p w14:paraId="3967EC60" w14:textId="77777777"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4.1 Light preprocessing</w:t>
      </w:r>
    </w:p>
    <w:p w14:paraId="62E3E049" w14:textId="77777777" w:rsidR="00D20B01" w:rsidRPr="005F421D"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lastRenderedPageBreak/>
        <w:t>Before any descriptive analysis, I applied a minimal preprocessing step to the</w:t>
      </w:r>
      <w:r w:rsidRPr="007F4AB5">
        <w:rPr>
          <w:rFonts w:ascii="Arial" w:hAnsi="Arial" w:cs="Arial"/>
          <w:sz w:val="20"/>
          <w:szCs w:val="20"/>
        </w:rPr>
        <w:t xml:space="preserve"> </w:t>
      </w:r>
      <w:proofErr w:type="spellStart"/>
      <w:r w:rsidRPr="00DC6EB9">
        <w:rPr>
          <w:rFonts w:ascii="Arial" w:hAnsi="Arial" w:cs="Arial"/>
          <w:sz w:val="20"/>
          <w:szCs w:val="20"/>
        </w:rPr>
        <w:t>df_core</w:t>
      </w:r>
      <w:proofErr w:type="spellEnd"/>
      <w:r w:rsidRPr="005F421D">
        <w:rPr>
          <w:rFonts w:ascii="Arial" w:hAnsi="Arial" w:cs="Arial"/>
          <w:sz w:val="20"/>
          <w:szCs w:val="20"/>
        </w:rPr>
        <w:t>:</w:t>
      </w:r>
    </w:p>
    <w:p w14:paraId="5B204050" w14:textId="77777777" w:rsidR="00D20B01" w:rsidRPr="005F421D" w:rsidRDefault="00D20B01" w:rsidP="00D20B01">
      <w:pPr>
        <w:numPr>
          <w:ilvl w:val="0"/>
          <w:numId w:val="1"/>
        </w:numPr>
        <w:spacing w:before="100" w:beforeAutospacing="1" w:after="100" w:afterAutospacing="1" w:line="276" w:lineRule="auto"/>
        <w:rPr>
          <w:rFonts w:ascii="Arial" w:hAnsi="Arial" w:cs="Arial"/>
          <w:sz w:val="20"/>
          <w:szCs w:val="20"/>
        </w:rPr>
      </w:pPr>
      <w:r w:rsidRPr="005F421D">
        <w:rPr>
          <w:rFonts w:ascii="Arial" w:hAnsi="Arial" w:cs="Arial"/>
          <w:b/>
          <w:bCs/>
          <w:sz w:val="20"/>
          <w:szCs w:val="20"/>
        </w:rPr>
        <w:t>Special missing codes</w:t>
      </w:r>
      <w:r w:rsidRPr="007F4AB5">
        <w:rPr>
          <w:rFonts w:ascii="Arial" w:hAnsi="Arial" w:cs="Arial"/>
          <w:b/>
          <w:bCs/>
          <w:sz w:val="20"/>
          <w:szCs w:val="20"/>
        </w:rPr>
        <w:t xml:space="preserve"> </w:t>
      </w:r>
      <w:r w:rsidRPr="007F4AB5">
        <w:rPr>
          <w:rFonts w:ascii="Arial" w:hAnsi="Arial" w:cs="Arial"/>
          <w:b/>
          <w:bCs/>
          <w:sz w:val="20"/>
          <w:szCs w:val="20"/>
        </w:rPr>
        <w:sym w:font="Wingdings" w:char="F0E0"/>
      </w:r>
      <w:r w:rsidRPr="005F421D">
        <w:rPr>
          <w:rFonts w:ascii="Arial" w:hAnsi="Arial" w:cs="Arial"/>
          <w:b/>
          <w:bCs/>
          <w:sz w:val="20"/>
          <w:szCs w:val="20"/>
        </w:rPr>
        <w:t xml:space="preserve"> </w:t>
      </w:r>
      <w:proofErr w:type="spellStart"/>
      <w:r w:rsidRPr="005F421D">
        <w:rPr>
          <w:rFonts w:ascii="Arial" w:hAnsi="Arial" w:cs="Arial"/>
          <w:b/>
          <w:bCs/>
          <w:sz w:val="20"/>
          <w:szCs w:val="20"/>
        </w:rPr>
        <w:t>NaN</w:t>
      </w:r>
      <w:proofErr w:type="spellEnd"/>
      <w:r w:rsidRPr="005F421D">
        <w:rPr>
          <w:rFonts w:ascii="Arial" w:hAnsi="Arial" w:cs="Arial"/>
          <w:b/>
          <w:bCs/>
          <w:sz w:val="20"/>
          <w:szCs w:val="20"/>
        </w:rPr>
        <w:t>.</w:t>
      </w:r>
      <w:r w:rsidRPr="005F421D">
        <w:rPr>
          <w:rFonts w:ascii="Arial" w:hAnsi="Arial" w:cs="Arial"/>
          <w:sz w:val="20"/>
          <w:szCs w:val="20"/>
        </w:rPr>
        <w:br/>
        <w:t>MEPS uses several numeric codes to indicate inapplicable or missing values (e.g. −1 “inapplicable”, −2 “determined in previous round”, −7 “refused”, −8 “don’t know”, −9/−13/−15 “not ascertained / cannot be computed”). All numeric variables were recoded so that these values are treated as standard missing values (</w:t>
      </w:r>
      <w:proofErr w:type="spellStart"/>
      <w:r w:rsidRPr="005F421D">
        <w:rPr>
          <w:rFonts w:ascii="Arial" w:hAnsi="Arial" w:cs="Arial"/>
          <w:sz w:val="20"/>
          <w:szCs w:val="20"/>
        </w:rPr>
        <w:t>NaN</w:t>
      </w:r>
      <w:proofErr w:type="spellEnd"/>
      <w:r w:rsidRPr="005F421D">
        <w:rPr>
          <w:rFonts w:ascii="Arial" w:hAnsi="Arial" w:cs="Arial"/>
          <w:sz w:val="20"/>
          <w:szCs w:val="20"/>
        </w:rPr>
        <w:t>).</w:t>
      </w:r>
    </w:p>
    <w:p w14:paraId="7F501733" w14:textId="77777777" w:rsidR="00D20B01" w:rsidRPr="005F421D" w:rsidRDefault="00D20B01" w:rsidP="00D20B01">
      <w:pPr>
        <w:numPr>
          <w:ilvl w:val="0"/>
          <w:numId w:val="1"/>
        </w:numPr>
        <w:spacing w:before="100" w:beforeAutospacing="1" w:after="100" w:afterAutospacing="1" w:line="276" w:lineRule="auto"/>
        <w:rPr>
          <w:rFonts w:ascii="Arial" w:hAnsi="Arial" w:cs="Arial"/>
          <w:sz w:val="20"/>
          <w:szCs w:val="20"/>
        </w:rPr>
      </w:pPr>
      <w:r w:rsidRPr="005F421D">
        <w:rPr>
          <w:rFonts w:ascii="Arial" w:hAnsi="Arial" w:cs="Arial"/>
          <w:b/>
          <w:bCs/>
          <w:sz w:val="20"/>
          <w:szCs w:val="20"/>
        </w:rPr>
        <w:t>Removal of logically invalid negative amounts.</w:t>
      </w:r>
      <w:r w:rsidRPr="005F421D">
        <w:rPr>
          <w:rFonts w:ascii="Arial" w:hAnsi="Arial" w:cs="Arial"/>
          <w:sz w:val="20"/>
          <w:szCs w:val="20"/>
        </w:rPr>
        <w:br/>
        <w:t>For all expenditure and payment variables (e.g. TOTEXPY1/TOTEXPY2 and the payer-specific totals such as TOTSLFY*, TOTPRVY*, TOTMCRY*, TOTMCDY*), any remaining negative values after the previous step were set to missing. This was done for both years and for all consolidated variables derived from the five MEPS interview rounds.</w:t>
      </w:r>
    </w:p>
    <w:p w14:paraId="3E96ED13" w14:textId="77777777" w:rsidR="00D20B01" w:rsidRPr="005F421D" w:rsidRDefault="00D20B01" w:rsidP="00D20B01">
      <w:pPr>
        <w:numPr>
          <w:ilvl w:val="0"/>
          <w:numId w:val="1"/>
        </w:numPr>
        <w:spacing w:before="100" w:beforeAutospacing="1" w:after="100" w:afterAutospacing="1" w:line="276" w:lineRule="auto"/>
        <w:rPr>
          <w:rFonts w:ascii="Arial" w:hAnsi="Arial" w:cs="Arial"/>
          <w:sz w:val="20"/>
          <w:szCs w:val="20"/>
        </w:rPr>
      </w:pPr>
      <w:r w:rsidRPr="005F421D">
        <w:rPr>
          <w:rFonts w:ascii="Arial" w:hAnsi="Arial" w:cs="Arial"/>
          <w:b/>
          <w:bCs/>
          <w:sz w:val="20"/>
          <w:szCs w:val="20"/>
        </w:rPr>
        <w:t>Restriction to complete longitudinal sample.</w:t>
      </w:r>
      <w:r w:rsidRPr="005F421D">
        <w:rPr>
          <w:rFonts w:ascii="Arial" w:hAnsi="Arial" w:cs="Arial"/>
          <w:sz w:val="20"/>
          <w:szCs w:val="20"/>
        </w:rPr>
        <w:br/>
        <w:t xml:space="preserve">The analysis focuses on individuals who are in scope for both calendar years and have data in all five rounds (YEARIND=1, ALL5RDS=1). After this restriction and light cleaning, the analytic dataset contains </w:t>
      </w:r>
      <w:r w:rsidRPr="005F421D">
        <w:rPr>
          <w:rFonts w:ascii="Arial" w:hAnsi="Arial" w:cs="Arial"/>
          <w:b/>
          <w:bCs/>
          <w:sz w:val="20"/>
          <w:szCs w:val="20"/>
        </w:rPr>
        <w:t>7,812 individuals</w:t>
      </w:r>
      <w:r w:rsidRPr="005F421D">
        <w:rPr>
          <w:rFonts w:ascii="Arial" w:hAnsi="Arial" w:cs="Arial"/>
          <w:sz w:val="20"/>
          <w:szCs w:val="20"/>
        </w:rPr>
        <w:t>.</w:t>
      </w:r>
    </w:p>
    <w:p w14:paraId="3F11BACF" w14:textId="77777777" w:rsidR="00D20B01" w:rsidRPr="005F421D"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No outlier removal, </w:t>
      </w:r>
      <w:proofErr w:type="spellStart"/>
      <w:r w:rsidRPr="005F421D">
        <w:rPr>
          <w:rFonts w:ascii="Arial" w:hAnsi="Arial" w:cs="Arial"/>
          <w:sz w:val="20"/>
          <w:szCs w:val="20"/>
        </w:rPr>
        <w:t>winsori</w:t>
      </w:r>
      <w:r w:rsidRPr="007F4AB5">
        <w:rPr>
          <w:rFonts w:ascii="Arial" w:hAnsi="Arial" w:cs="Arial"/>
          <w:sz w:val="20"/>
          <w:szCs w:val="20"/>
        </w:rPr>
        <w:t>z</w:t>
      </w:r>
      <w:r w:rsidRPr="005F421D">
        <w:rPr>
          <w:rFonts w:ascii="Arial" w:hAnsi="Arial" w:cs="Arial"/>
          <w:sz w:val="20"/>
          <w:szCs w:val="20"/>
        </w:rPr>
        <w:t>ation</w:t>
      </w:r>
      <w:proofErr w:type="spellEnd"/>
      <w:r w:rsidRPr="005F421D">
        <w:rPr>
          <w:rFonts w:ascii="Arial" w:hAnsi="Arial" w:cs="Arial"/>
          <w:sz w:val="20"/>
          <w:szCs w:val="20"/>
        </w:rPr>
        <w:t xml:space="preserve"> or imputation was performed at this stage; those steps are discussed in Phase II when preparing the modelling dataset.</w:t>
      </w:r>
    </w:p>
    <w:p w14:paraId="263866ED" w14:textId="77777777"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4.2 Overview of core predictors</w:t>
      </w:r>
    </w:p>
    <w:p w14:paraId="5CD14FC3" w14:textId="77777777"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4.2.1 Demographics and socio-economic status</w:t>
      </w:r>
    </w:p>
    <w:p w14:paraId="64EDD87C" w14:textId="77777777" w:rsidR="00D20B01" w:rsidRPr="007F4AB5"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The age distribution in year 2 (AGEY2X) spans the full life course, from young children to very old adults. The mean age is around </w:t>
      </w:r>
      <w:r w:rsidRPr="005F421D">
        <w:rPr>
          <w:rFonts w:ascii="Arial" w:hAnsi="Arial" w:cs="Arial"/>
          <w:b/>
          <w:bCs/>
          <w:sz w:val="20"/>
          <w:szCs w:val="20"/>
        </w:rPr>
        <w:t>45 years</w:t>
      </w:r>
      <w:r w:rsidRPr="005F421D">
        <w:rPr>
          <w:rFonts w:ascii="Arial" w:hAnsi="Arial" w:cs="Arial"/>
          <w:sz w:val="20"/>
          <w:szCs w:val="20"/>
        </w:rPr>
        <w:t xml:space="preserve"> (median 46, interquartile range 25–64). Age distributions in year 1 and year 2 are almost identical, as expected for a two-year panel of the same individuals.</w:t>
      </w:r>
      <w:r w:rsidRPr="007F4AB5">
        <w:rPr>
          <w:rFonts w:ascii="Arial" w:hAnsi="Arial" w:cs="Arial"/>
          <w:sz w:val="20"/>
          <w:szCs w:val="20"/>
        </w:rPr>
        <w:t xml:space="preserve"> Grouping age into four bands (0–17, 18–44, 45–64, 65+) shows that roughly one fifth of the sample are children and adolescents, around one third are aged 18–44, another quarter 45–64, and about one quarter are 65 or older. Full age-group distributions are reported in Appendix A (Figure A.1).</w:t>
      </w:r>
    </w:p>
    <w:p w14:paraId="1396F56D" w14:textId="77777777" w:rsidR="00D20B01" w:rsidRPr="007F4AB5"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Sex is almost balanced, with </w:t>
      </w:r>
      <w:r w:rsidRPr="005F421D">
        <w:rPr>
          <w:rFonts w:ascii="Arial" w:hAnsi="Arial" w:cs="Arial"/>
          <w:b/>
          <w:bCs/>
          <w:sz w:val="20"/>
          <w:szCs w:val="20"/>
        </w:rPr>
        <w:t>about 53% female and 47% male</w:t>
      </w:r>
      <w:r w:rsidRPr="005F421D">
        <w:rPr>
          <w:rFonts w:ascii="Arial" w:hAnsi="Arial" w:cs="Arial"/>
          <w:sz w:val="20"/>
          <w:szCs w:val="20"/>
        </w:rPr>
        <w:t xml:space="preserve">. Race/ethnicity is dominated by non-Hispanic White individuals (≈53%), followed by Hispanic (≈23%), non-Hispanic Black (≈15%), non-Hispanic Asian (≈6%) and other or multiple races (≈3–4%). </w:t>
      </w:r>
      <w:r w:rsidRPr="007F4AB5">
        <w:rPr>
          <w:rFonts w:ascii="Arial" w:hAnsi="Arial" w:cs="Arial"/>
          <w:sz w:val="20"/>
          <w:szCs w:val="20"/>
        </w:rPr>
        <w:t xml:space="preserve">Region of residence is reasonably balanced across the four US Census regions, with the </w:t>
      </w:r>
      <w:r w:rsidRPr="007F4AB5">
        <w:rPr>
          <w:rFonts w:ascii="Arial" w:hAnsi="Arial" w:cs="Arial"/>
          <w:b/>
          <w:bCs/>
          <w:sz w:val="20"/>
          <w:szCs w:val="20"/>
        </w:rPr>
        <w:t>South</w:t>
      </w:r>
      <w:r w:rsidRPr="007F4AB5">
        <w:rPr>
          <w:rFonts w:ascii="Arial" w:hAnsi="Arial" w:cs="Arial"/>
          <w:sz w:val="20"/>
          <w:szCs w:val="20"/>
        </w:rPr>
        <w:t xml:space="preserve"> being the largest region </w:t>
      </w:r>
      <w:r w:rsidRPr="005F421D">
        <w:rPr>
          <w:rFonts w:ascii="Arial" w:hAnsi="Arial" w:cs="Arial"/>
          <w:sz w:val="20"/>
          <w:szCs w:val="20"/>
        </w:rPr>
        <w:t>(≈39%), followed by the West (≈25%), Midwest (≈20%) and Northeast (≈15%)</w:t>
      </w:r>
      <w:r w:rsidRPr="007F4AB5">
        <w:rPr>
          <w:rFonts w:ascii="Arial" w:hAnsi="Arial" w:cs="Arial"/>
          <w:sz w:val="20"/>
          <w:szCs w:val="20"/>
        </w:rPr>
        <w:t xml:space="preserve">; the year-1 and year-2 regional distributions are almost identical. Education level (EDUCYR) shows a broad distribution. The largest group completed </w:t>
      </w:r>
      <w:r w:rsidRPr="007F4AB5">
        <w:rPr>
          <w:rFonts w:ascii="Arial" w:hAnsi="Arial" w:cs="Arial"/>
          <w:b/>
          <w:bCs/>
          <w:sz w:val="20"/>
          <w:szCs w:val="20"/>
        </w:rPr>
        <w:t>Grade 12 / high school</w:t>
      </w:r>
      <w:r w:rsidRPr="007F4AB5">
        <w:rPr>
          <w:rFonts w:ascii="Arial" w:hAnsi="Arial" w:cs="Arial"/>
          <w:sz w:val="20"/>
          <w:szCs w:val="20"/>
        </w:rPr>
        <w:t xml:space="preserve"> (≈23.1%). A substantial share reported some college</w:t>
      </w:r>
      <w:r w:rsidRPr="007F4AB5">
        <w:rPr>
          <w:rFonts w:ascii="Arial" w:hAnsi="Arial" w:cs="Arial"/>
          <w:b/>
          <w:bCs/>
          <w:sz w:val="20"/>
          <w:szCs w:val="20"/>
        </w:rPr>
        <w:t xml:space="preserve"> (1–3 years)</w:t>
      </w:r>
      <w:r w:rsidRPr="007F4AB5">
        <w:rPr>
          <w:rFonts w:ascii="Arial" w:hAnsi="Arial" w:cs="Arial"/>
          <w:sz w:val="20"/>
          <w:szCs w:val="20"/>
        </w:rPr>
        <w:t xml:space="preserve"> (≈17.8%) or 4 years of college (≈16.6%). Lower education categories remain common (≈14.6% elementary grades 1–8 and ≈8.9% high school grades 9–11). A smaller proportion reported 5+ years of college (≈12.0%). Missingness is low (≈4.6%), and “no school/kindergarten only” is rare (≈2.5%). Detailed figures for sex, race/ethnicity, region and education level are provided in Appendix A (Figure A.2).</w:t>
      </w:r>
      <w:r w:rsidRPr="005F421D">
        <w:rPr>
          <w:rFonts w:ascii="Arial" w:hAnsi="Arial" w:cs="Arial"/>
          <w:sz w:val="20"/>
          <w:szCs w:val="20"/>
        </w:rPr>
        <w:br/>
      </w:r>
    </w:p>
    <w:p w14:paraId="21520B0D" w14:textId="77777777" w:rsidR="00D20B01" w:rsidRPr="005F421D"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t xml:space="preserve">Family size in year 1 is concentrated in small-to-medium households. The most common size is </w:t>
      </w:r>
      <w:r w:rsidRPr="007F4AB5">
        <w:rPr>
          <w:rFonts w:ascii="Arial" w:hAnsi="Arial" w:cs="Arial"/>
          <w:b/>
          <w:bCs/>
          <w:sz w:val="20"/>
          <w:szCs w:val="20"/>
        </w:rPr>
        <w:t>2 people</w:t>
      </w:r>
      <w:r w:rsidRPr="007F4AB5">
        <w:rPr>
          <w:rFonts w:ascii="Arial" w:hAnsi="Arial" w:cs="Arial"/>
          <w:sz w:val="20"/>
          <w:szCs w:val="20"/>
        </w:rPr>
        <w:t xml:space="preserve"> (≈28.8%), followed by </w:t>
      </w:r>
      <w:r w:rsidRPr="007F4AB5">
        <w:rPr>
          <w:rFonts w:ascii="Arial" w:hAnsi="Arial" w:cs="Arial"/>
          <w:b/>
          <w:bCs/>
          <w:sz w:val="20"/>
          <w:szCs w:val="20"/>
        </w:rPr>
        <w:t>4</w:t>
      </w:r>
      <w:r w:rsidRPr="007F4AB5">
        <w:rPr>
          <w:rFonts w:ascii="Arial" w:hAnsi="Arial" w:cs="Arial"/>
          <w:sz w:val="20"/>
          <w:szCs w:val="20"/>
        </w:rPr>
        <w:t xml:space="preserve"> (≈18.5%), </w:t>
      </w:r>
      <w:r w:rsidRPr="007F4AB5">
        <w:rPr>
          <w:rFonts w:ascii="Arial" w:hAnsi="Arial" w:cs="Arial"/>
          <w:b/>
          <w:bCs/>
          <w:sz w:val="20"/>
          <w:szCs w:val="20"/>
        </w:rPr>
        <w:t>1</w:t>
      </w:r>
      <w:r w:rsidRPr="007F4AB5">
        <w:rPr>
          <w:rFonts w:ascii="Arial" w:hAnsi="Arial" w:cs="Arial"/>
          <w:sz w:val="20"/>
          <w:szCs w:val="20"/>
        </w:rPr>
        <w:t xml:space="preserve"> (≈18.4%), and </w:t>
      </w:r>
      <w:r w:rsidRPr="007F4AB5">
        <w:rPr>
          <w:rFonts w:ascii="Arial" w:hAnsi="Arial" w:cs="Arial"/>
          <w:b/>
          <w:bCs/>
          <w:sz w:val="20"/>
          <w:szCs w:val="20"/>
        </w:rPr>
        <w:t>3</w:t>
      </w:r>
      <w:r w:rsidRPr="007F4AB5">
        <w:rPr>
          <w:rFonts w:ascii="Arial" w:hAnsi="Arial" w:cs="Arial"/>
          <w:sz w:val="20"/>
          <w:szCs w:val="20"/>
        </w:rPr>
        <w:t xml:space="preserve"> (≈16.7%). Larger families are less common (≈10.0% for size 5, ≈4.6% for 6, and ≈2.9% for 7+). Family income </w:t>
      </w:r>
      <w:r w:rsidRPr="005F421D">
        <w:rPr>
          <w:rFonts w:ascii="Arial" w:hAnsi="Arial" w:cs="Arial"/>
          <w:sz w:val="20"/>
          <w:szCs w:val="20"/>
        </w:rPr>
        <w:t>variables (FAMINCY1/2)</w:t>
      </w:r>
      <w:r w:rsidRPr="007F4AB5">
        <w:rPr>
          <w:rFonts w:ascii="Arial" w:hAnsi="Arial" w:cs="Arial"/>
          <w:sz w:val="20"/>
          <w:szCs w:val="20"/>
        </w:rPr>
        <w:t xml:space="preserve"> </w:t>
      </w:r>
      <w:r w:rsidRPr="005F421D">
        <w:rPr>
          <w:rFonts w:ascii="Arial" w:hAnsi="Arial" w:cs="Arial"/>
          <w:sz w:val="20"/>
          <w:szCs w:val="20"/>
        </w:rPr>
        <w:t xml:space="preserve">show a very </w:t>
      </w:r>
      <w:r w:rsidRPr="005F421D">
        <w:rPr>
          <w:rFonts w:ascii="Arial" w:hAnsi="Arial" w:cs="Arial"/>
          <w:b/>
          <w:bCs/>
          <w:sz w:val="20"/>
          <w:szCs w:val="20"/>
        </w:rPr>
        <w:t>right-skewed distribution</w:t>
      </w:r>
      <w:r w:rsidRPr="005F421D">
        <w:rPr>
          <w:rFonts w:ascii="Arial" w:hAnsi="Arial" w:cs="Arial"/>
          <w:sz w:val="20"/>
          <w:szCs w:val="20"/>
        </w:rPr>
        <w:t xml:space="preserve">, </w:t>
      </w:r>
      <w:r w:rsidRPr="007F4AB5">
        <w:rPr>
          <w:rFonts w:ascii="Arial" w:hAnsi="Arial" w:cs="Arial"/>
          <w:sz w:val="20"/>
          <w:szCs w:val="20"/>
        </w:rPr>
        <w:t xml:space="preserve">with many families in the low-to-middle income range and a small number of very </w:t>
      </w:r>
      <w:r w:rsidRPr="007F4AB5">
        <w:rPr>
          <w:rFonts w:ascii="Arial" w:hAnsi="Arial" w:cs="Arial"/>
          <w:sz w:val="20"/>
          <w:szCs w:val="20"/>
        </w:rPr>
        <w:lastRenderedPageBreak/>
        <w:t xml:space="preserve">high-income households. Poverty category variables summarize income relative to the federal poverty line. In year 2, roughly 40% of individuals live in </w:t>
      </w:r>
      <w:r w:rsidRPr="007F4AB5">
        <w:rPr>
          <w:rFonts w:ascii="Arial" w:hAnsi="Arial" w:cs="Arial"/>
          <w:b/>
          <w:bCs/>
          <w:sz w:val="20"/>
          <w:szCs w:val="20"/>
        </w:rPr>
        <w:t>high-income</w:t>
      </w:r>
      <w:r w:rsidRPr="007F4AB5">
        <w:rPr>
          <w:rFonts w:ascii="Arial" w:hAnsi="Arial" w:cs="Arial"/>
          <w:sz w:val="20"/>
          <w:szCs w:val="20"/>
        </w:rPr>
        <w:t xml:space="preserve"> households (≥400% of the poverty line), around 29% in middle-income, 13% in low-income, 5% in near-poor and about 14% in poor or negative-income households. The full poverty distribution and family income boxplots are shown in Appendix A (Figure A.3). </w:t>
      </w:r>
    </w:p>
    <w:p w14:paraId="637EAAE4" w14:textId="77777777"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4.2.2 Insurance coverage and employment</w:t>
      </w:r>
    </w:p>
    <w:p w14:paraId="0D6EDD60" w14:textId="77777777" w:rsidR="00D20B01" w:rsidRPr="007F4AB5"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Full-year insurance coverage (INSCOVY1/2) is relatively stable across the two years. In each year, approximately </w:t>
      </w:r>
      <w:r w:rsidRPr="005F421D">
        <w:rPr>
          <w:rFonts w:ascii="Arial" w:hAnsi="Arial" w:cs="Arial"/>
          <w:b/>
          <w:bCs/>
          <w:sz w:val="20"/>
          <w:szCs w:val="20"/>
        </w:rPr>
        <w:t>60–61%</w:t>
      </w:r>
      <w:r w:rsidRPr="005F421D">
        <w:rPr>
          <w:rFonts w:ascii="Arial" w:hAnsi="Arial" w:cs="Arial"/>
          <w:sz w:val="20"/>
          <w:szCs w:val="20"/>
        </w:rPr>
        <w:t xml:space="preserve"> of individuals have </w:t>
      </w:r>
      <w:r w:rsidRPr="005F421D">
        <w:rPr>
          <w:rFonts w:ascii="Arial" w:hAnsi="Arial" w:cs="Arial"/>
          <w:b/>
          <w:bCs/>
          <w:sz w:val="20"/>
          <w:szCs w:val="20"/>
        </w:rPr>
        <w:t>some private coverage</w:t>
      </w:r>
      <w:r w:rsidRPr="005F421D">
        <w:rPr>
          <w:rFonts w:ascii="Arial" w:hAnsi="Arial" w:cs="Arial"/>
          <w:sz w:val="20"/>
          <w:szCs w:val="20"/>
        </w:rPr>
        <w:t xml:space="preserve"> for the full year, about 33% are covered only by public programs, and 6–7% are uninsured for the entire year.</w:t>
      </w:r>
    </w:p>
    <w:p w14:paraId="712F589B" w14:textId="77777777" w:rsidR="00D20B01" w:rsidRPr="005F421D"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The more detailed insurance type variable (INSURCY1/2) splits these groups by age and Medicare status. Among individuals younger than 65, about </w:t>
      </w:r>
      <w:r w:rsidRPr="005F421D">
        <w:rPr>
          <w:rFonts w:ascii="Arial" w:hAnsi="Arial" w:cs="Arial"/>
          <w:b/>
          <w:bCs/>
          <w:sz w:val="20"/>
          <w:szCs w:val="20"/>
        </w:rPr>
        <w:t>50%</w:t>
      </w:r>
      <w:r w:rsidRPr="005F421D">
        <w:rPr>
          <w:rFonts w:ascii="Arial" w:hAnsi="Arial" w:cs="Arial"/>
          <w:sz w:val="20"/>
          <w:szCs w:val="20"/>
        </w:rPr>
        <w:t xml:space="preserve"> have </w:t>
      </w:r>
      <w:r w:rsidRPr="005F421D">
        <w:rPr>
          <w:rFonts w:ascii="Arial" w:hAnsi="Arial" w:cs="Arial"/>
          <w:b/>
          <w:bCs/>
          <w:sz w:val="20"/>
          <w:szCs w:val="20"/>
        </w:rPr>
        <w:t>any private coverage</w:t>
      </w:r>
      <w:r w:rsidRPr="005F421D">
        <w:rPr>
          <w:rFonts w:ascii="Arial" w:hAnsi="Arial" w:cs="Arial"/>
          <w:sz w:val="20"/>
          <w:szCs w:val="20"/>
        </w:rPr>
        <w:t xml:space="preserve">, 19–20% are public-only, and 6–7% are uninsured. Among those aged 65+, the vast majority fall into </w:t>
      </w:r>
      <w:r w:rsidRPr="005F421D">
        <w:rPr>
          <w:rFonts w:ascii="Arial" w:hAnsi="Arial" w:cs="Arial"/>
          <w:b/>
          <w:bCs/>
          <w:sz w:val="20"/>
          <w:szCs w:val="20"/>
        </w:rPr>
        <w:t xml:space="preserve">Medicare-based categories </w:t>
      </w:r>
      <w:r w:rsidRPr="005F421D">
        <w:rPr>
          <w:rFonts w:ascii="Arial" w:hAnsi="Arial" w:cs="Arial"/>
          <w:sz w:val="20"/>
          <w:szCs w:val="20"/>
        </w:rPr>
        <w:t xml:space="preserve">(Medicare only, Medicare plus private, or Medicare plus other public coverage); older adults who are uninsured or who have no Medicare but other coverage </w:t>
      </w:r>
      <w:proofErr w:type="gramStart"/>
      <w:r w:rsidRPr="005F421D">
        <w:rPr>
          <w:rFonts w:ascii="Arial" w:hAnsi="Arial" w:cs="Arial"/>
          <w:sz w:val="20"/>
          <w:szCs w:val="20"/>
        </w:rPr>
        <w:t>are</w:t>
      </w:r>
      <w:proofErr w:type="gramEnd"/>
      <w:r w:rsidRPr="005F421D">
        <w:rPr>
          <w:rFonts w:ascii="Arial" w:hAnsi="Arial" w:cs="Arial"/>
          <w:sz w:val="20"/>
          <w:szCs w:val="20"/>
        </w:rPr>
        <w:t xml:space="preserve"> extremely rare (&lt;1%). The distribution of these detailed insurance types is almost unchanged between year 1 and year 2.</w:t>
      </w:r>
      <w:r w:rsidRPr="007F4AB5">
        <w:rPr>
          <w:rFonts w:ascii="Arial" w:hAnsi="Arial" w:cs="Arial"/>
          <w:sz w:val="20"/>
          <w:szCs w:val="20"/>
        </w:rPr>
        <w:t xml:space="preserve"> The full breakdown is presented in Appendix A (Figure A.4).</w:t>
      </w:r>
    </w:p>
    <w:p w14:paraId="40671D02" w14:textId="77777777" w:rsidR="00D20B01" w:rsidRPr="005F421D"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t xml:space="preserve">Employment variables are only relevant for working-age individuals, and many records are inapplicable for children and older adults. Among respondents with valid values on the “ever worked during the year” indicator, roughly </w:t>
      </w:r>
      <w:r w:rsidRPr="007F4AB5">
        <w:rPr>
          <w:rFonts w:ascii="Arial" w:hAnsi="Arial" w:cs="Arial"/>
          <w:b/>
          <w:bCs/>
          <w:sz w:val="20"/>
          <w:szCs w:val="20"/>
        </w:rPr>
        <w:t>two thirds</w:t>
      </w:r>
      <w:r w:rsidRPr="007F4AB5">
        <w:rPr>
          <w:rFonts w:ascii="Arial" w:hAnsi="Arial" w:cs="Arial"/>
          <w:sz w:val="20"/>
          <w:szCs w:val="20"/>
        </w:rPr>
        <w:t xml:space="preserve"> report having worked at some point in the year. Employment status across rounds 1, 3, and 5 is stable. In each round, roughly </w:t>
      </w:r>
      <w:r w:rsidRPr="007F4AB5">
        <w:rPr>
          <w:rFonts w:ascii="Arial" w:hAnsi="Arial" w:cs="Arial"/>
          <w:b/>
          <w:bCs/>
          <w:sz w:val="20"/>
          <w:szCs w:val="20"/>
        </w:rPr>
        <w:t>56–57%</w:t>
      </w:r>
      <w:r w:rsidRPr="007F4AB5">
        <w:rPr>
          <w:rFonts w:ascii="Arial" w:hAnsi="Arial" w:cs="Arial"/>
          <w:sz w:val="20"/>
          <w:szCs w:val="20"/>
        </w:rPr>
        <w:t xml:space="preserve"> are recorded as </w:t>
      </w:r>
      <w:r w:rsidRPr="007F4AB5">
        <w:rPr>
          <w:rFonts w:ascii="Arial" w:hAnsi="Arial" w:cs="Arial"/>
          <w:b/>
          <w:bCs/>
          <w:sz w:val="20"/>
          <w:szCs w:val="20"/>
        </w:rPr>
        <w:t>employed at the interview date</w:t>
      </w:r>
      <w:r w:rsidRPr="007F4AB5">
        <w:rPr>
          <w:rFonts w:ascii="Arial" w:hAnsi="Arial" w:cs="Arial"/>
          <w:sz w:val="20"/>
          <w:szCs w:val="20"/>
        </w:rPr>
        <w:t xml:space="preserve">, while about </w:t>
      </w:r>
      <w:r w:rsidRPr="007F4AB5">
        <w:rPr>
          <w:rFonts w:ascii="Arial" w:hAnsi="Arial" w:cs="Arial"/>
          <w:b/>
          <w:bCs/>
          <w:sz w:val="20"/>
          <w:szCs w:val="20"/>
        </w:rPr>
        <w:t>40–41%</w:t>
      </w:r>
      <w:r w:rsidRPr="007F4AB5">
        <w:rPr>
          <w:rFonts w:ascii="Arial" w:hAnsi="Arial" w:cs="Arial"/>
          <w:sz w:val="20"/>
          <w:szCs w:val="20"/>
        </w:rPr>
        <w:t xml:space="preserve"> are </w:t>
      </w:r>
      <w:r w:rsidRPr="007F4AB5">
        <w:rPr>
          <w:rFonts w:ascii="Arial" w:hAnsi="Arial" w:cs="Arial"/>
          <w:b/>
          <w:bCs/>
          <w:sz w:val="20"/>
          <w:szCs w:val="20"/>
        </w:rPr>
        <w:t>not employed</w:t>
      </w:r>
      <w:r w:rsidRPr="007F4AB5">
        <w:rPr>
          <w:rFonts w:ascii="Arial" w:hAnsi="Arial" w:cs="Arial"/>
          <w:sz w:val="20"/>
          <w:szCs w:val="20"/>
        </w:rPr>
        <w:t xml:space="preserve">. The categories “job to return to” and “job during the reference period” together account for only a small fraction (generally &lt;4%). Unemployment compensation </w:t>
      </w:r>
      <w:r w:rsidRPr="005F421D">
        <w:rPr>
          <w:rFonts w:ascii="Arial" w:hAnsi="Arial" w:cs="Arial"/>
          <w:sz w:val="20"/>
          <w:szCs w:val="20"/>
        </w:rPr>
        <w:t>variables (UNEMPY1X/2X)</w:t>
      </w:r>
      <w:r w:rsidRPr="007F4AB5">
        <w:rPr>
          <w:rFonts w:ascii="Arial" w:hAnsi="Arial" w:cs="Arial"/>
          <w:sz w:val="20"/>
          <w:szCs w:val="20"/>
        </w:rPr>
        <w:t xml:space="preserve"> are zero for the large majority; among those who receive any, the amounts are highly </w:t>
      </w:r>
      <w:proofErr w:type="gramStart"/>
      <w:r w:rsidRPr="007F4AB5">
        <w:rPr>
          <w:rFonts w:ascii="Arial" w:hAnsi="Arial" w:cs="Arial"/>
          <w:sz w:val="20"/>
          <w:szCs w:val="20"/>
        </w:rPr>
        <w:t>right-skewed</w:t>
      </w:r>
      <w:proofErr w:type="gramEnd"/>
      <w:r w:rsidRPr="007F4AB5">
        <w:rPr>
          <w:rFonts w:ascii="Arial" w:hAnsi="Arial" w:cs="Arial"/>
          <w:sz w:val="20"/>
          <w:szCs w:val="20"/>
        </w:rPr>
        <w:t>, with median annual payments of several thousand dollars and a long right tail (Appendix A, Figure A.5).</w:t>
      </w:r>
    </w:p>
    <w:p w14:paraId="4ED0A261" w14:textId="77777777"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4.2.3 Health status and chronic conditions</w:t>
      </w:r>
    </w:p>
    <w:p w14:paraId="34F2361C" w14:textId="77777777" w:rsidR="00D20B01" w:rsidRPr="005F421D"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t xml:space="preserve">Self-reported general health (RTHLTH1/3/5) and mental health (MNHLTH1/3/5) are measured on a five-point scale (excellent, very good, good, fair, poor). Across all three rounds, approximately </w:t>
      </w:r>
      <w:r w:rsidRPr="007F4AB5">
        <w:rPr>
          <w:rFonts w:ascii="Arial" w:hAnsi="Arial" w:cs="Arial"/>
          <w:b/>
          <w:bCs/>
          <w:sz w:val="20"/>
          <w:szCs w:val="20"/>
        </w:rPr>
        <w:t>85–87%</w:t>
      </w:r>
      <w:r w:rsidRPr="007F4AB5">
        <w:rPr>
          <w:rFonts w:ascii="Arial" w:hAnsi="Arial" w:cs="Arial"/>
          <w:sz w:val="20"/>
          <w:szCs w:val="20"/>
        </w:rPr>
        <w:t xml:space="preserve"> of respondents rate their </w:t>
      </w:r>
      <w:r w:rsidRPr="007F4AB5">
        <w:rPr>
          <w:rFonts w:ascii="Arial" w:hAnsi="Arial" w:cs="Arial"/>
          <w:b/>
          <w:bCs/>
          <w:sz w:val="20"/>
          <w:szCs w:val="20"/>
        </w:rPr>
        <w:t>general health</w:t>
      </w:r>
      <w:r w:rsidRPr="007F4AB5">
        <w:rPr>
          <w:rFonts w:ascii="Arial" w:hAnsi="Arial" w:cs="Arial"/>
          <w:sz w:val="20"/>
          <w:szCs w:val="20"/>
        </w:rPr>
        <w:t xml:space="preserve"> </w:t>
      </w:r>
      <w:r w:rsidRPr="007F4AB5">
        <w:rPr>
          <w:rFonts w:ascii="Arial" w:hAnsi="Arial" w:cs="Arial"/>
          <w:b/>
          <w:bCs/>
          <w:sz w:val="20"/>
          <w:szCs w:val="20"/>
        </w:rPr>
        <w:t>as good</w:t>
      </w:r>
      <w:r w:rsidRPr="007F4AB5">
        <w:rPr>
          <w:rFonts w:ascii="Arial" w:hAnsi="Arial" w:cs="Arial"/>
          <w:sz w:val="20"/>
          <w:szCs w:val="20"/>
        </w:rPr>
        <w:t xml:space="preserve">, very good or excellent, and only about 12–13% report fair or poor health. Self-rated </w:t>
      </w:r>
      <w:r w:rsidRPr="007F4AB5">
        <w:rPr>
          <w:rFonts w:ascii="Arial" w:hAnsi="Arial" w:cs="Arial"/>
          <w:b/>
          <w:bCs/>
          <w:sz w:val="20"/>
          <w:szCs w:val="20"/>
        </w:rPr>
        <w:t>mental health</w:t>
      </w:r>
      <w:r w:rsidRPr="007F4AB5">
        <w:rPr>
          <w:rFonts w:ascii="Arial" w:hAnsi="Arial" w:cs="Arial"/>
          <w:sz w:val="20"/>
          <w:szCs w:val="20"/>
        </w:rPr>
        <w:t xml:space="preserve"> is slightly better: roughly </w:t>
      </w:r>
      <w:r w:rsidRPr="007F4AB5">
        <w:rPr>
          <w:rFonts w:ascii="Arial" w:hAnsi="Arial" w:cs="Arial"/>
          <w:b/>
          <w:bCs/>
          <w:sz w:val="20"/>
          <w:szCs w:val="20"/>
        </w:rPr>
        <w:t>88–90% good/very good/excellent</w:t>
      </w:r>
      <w:r w:rsidRPr="007F4AB5">
        <w:rPr>
          <w:rFonts w:ascii="Arial" w:hAnsi="Arial" w:cs="Arial"/>
          <w:sz w:val="20"/>
          <w:szCs w:val="20"/>
        </w:rPr>
        <w:t xml:space="preserve"> and around 10% fair or poor. The shape of these distributions is very stable over time (Appendix A, Figure A.6).</w:t>
      </w:r>
    </w:p>
    <w:p w14:paraId="4B12A5F7" w14:textId="77777777" w:rsidR="00D20B01" w:rsidRPr="005F421D"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t xml:space="preserve">Chronic conditions are common. In year 1, around </w:t>
      </w:r>
      <w:r w:rsidRPr="007F4AB5">
        <w:rPr>
          <w:rFonts w:ascii="Arial" w:hAnsi="Arial" w:cs="Arial"/>
          <w:b/>
          <w:bCs/>
          <w:sz w:val="20"/>
          <w:szCs w:val="20"/>
        </w:rPr>
        <w:t>30%</w:t>
      </w:r>
      <w:r w:rsidRPr="007F4AB5">
        <w:rPr>
          <w:rFonts w:ascii="Arial" w:hAnsi="Arial" w:cs="Arial"/>
          <w:sz w:val="20"/>
          <w:szCs w:val="20"/>
        </w:rPr>
        <w:t xml:space="preserve"> of individuals report </w:t>
      </w:r>
      <w:r w:rsidRPr="007F4AB5">
        <w:rPr>
          <w:rFonts w:ascii="Arial" w:hAnsi="Arial" w:cs="Arial"/>
          <w:b/>
          <w:bCs/>
          <w:sz w:val="20"/>
          <w:szCs w:val="20"/>
        </w:rPr>
        <w:t>hypertension</w:t>
      </w:r>
      <w:r w:rsidRPr="007F4AB5">
        <w:rPr>
          <w:rFonts w:ascii="Arial" w:hAnsi="Arial" w:cs="Arial"/>
          <w:sz w:val="20"/>
          <w:szCs w:val="20"/>
        </w:rPr>
        <w:t xml:space="preserve">, </w:t>
      </w:r>
      <w:r w:rsidRPr="007F4AB5">
        <w:rPr>
          <w:rFonts w:ascii="Arial" w:hAnsi="Arial" w:cs="Arial"/>
          <w:b/>
          <w:bCs/>
          <w:sz w:val="20"/>
          <w:szCs w:val="20"/>
        </w:rPr>
        <w:t>28%</w:t>
      </w:r>
      <w:r w:rsidRPr="007F4AB5">
        <w:rPr>
          <w:rFonts w:ascii="Arial" w:hAnsi="Arial" w:cs="Arial"/>
          <w:sz w:val="20"/>
          <w:szCs w:val="20"/>
        </w:rPr>
        <w:t xml:space="preserve"> report </w:t>
      </w:r>
      <w:r w:rsidRPr="007F4AB5">
        <w:rPr>
          <w:rFonts w:ascii="Arial" w:hAnsi="Arial" w:cs="Arial"/>
          <w:b/>
          <w:bCs/>
          <w:sz w:val="20"/>
          <w:szCs w:val="20"/>
        </w:rPr>
        <w:t>high cholesterol</w:t>
      </w:r>
      <w:r w:rsidRPr="007F4AB5">
        <w:rPr>
          <w:rFonts w:ascii="Arial" w:hAnsi="Arial" w:cs="Arial"/>
          <w:sz w:val="20"/>
          <w:szCs w:val="20"/>
        </w:rPr>
        <w:t xml:space="preserve">, </w:t>
      </w:r>
      <w:r w:rsidRPr="007F4AB5">
        <w:rPr>
          <w:rFonts w:ascii="Arial" w:hAnsi="Arial" w:cs="Arial"/>
          <w:b/>
          <w:bCs/>
          <w:sz w:val="20"/>
          <w:szCs w:val="20"/>
        </w:rPr>
        <w:t>14%</w:t>
      </w:r>
      <w:r w:rsidRPr="007F4AB5">
        <w:rPr>
          <w:rFonts w:ascii="Arial" w:hAnsi="Arial" w:cs="Arial"/>
          <w:sz w:val="20"/>
          <w:szCs w:val="20"/>
        </w:rPr>
        <w:t xml:space="preserve"> have </w:t>
      </w:r>
      <w:r w:rsidRPr="007F4AB5">
        <w:rPr>
          <w:rFonts w:ascii="Arial" w:hAnsi="Arial" w:cs="Arial"/>
          <w:b/>
          <w:bCs/>
          <w:sz w:val="20"/>
          <w:szCs w:val="20"/>
        </w:rPr>
        <w:t>asthma</w:t>
      </w:r>
      <w:r w:rsidRPr="007F4AB5">
        <w:rPr>
          <w:rFonts w:ascii="Arial" w:hAnsi="Arial" w:cs="Arial"/>
          <w:sz w:val="20"/>
          <w:szCs w:val="20"/>
        </w:rPr>
        <w:t xml:space="preserve">, and </w:t>
      </w:r>
      <w:r w:rsidRPr="007F4AB5">
        <w:rPr>
          <w:rFonts w:ascii="Arial" w:hAnsi="Arial" w:cs="Arial"/>
          <w:b/>
          <w:bCs/>
          <w:sz w:val="20"/>
          <w:szCs w:val="20"/>
        </w:rPr>
        <w:t>12%</w:t>
      </w:r>
      <w:r w:rsidRPr="007F4AB5">
        <w:rPr>
          <w:rFonts w:ascii="Arial" w:hAnsi="Arial" w:cs="Arial"/>
          <w:sz w:val="20"/>
          <w:szCs w:val="20"/>
        </w:rPr>
        <w:t xml:space="preserve"> have </w:t>
      </w:r>
      <w:r w:rsidRPr="007F4AB5">
        <w:rPr>
          <w:rFonts w:ascii="Arial" w:hAnsi="Arial" w:cs="Arial"/>
          <w:b/>
          <w:bCs/>
          <w:sz w:val="20"/>
          <w:szCs w:val="20"/>
        </w:rPr>
        <w:t>diabetes</w:t>
      </w:r>
      <w:r w:rsidRPr="007F4AB5">
        <w:rPr>
          <w:rFonts w:ascii="Arial" w:hAnsi="Arial" w:cs="Arial"/>
          <w:sz w:val="20"/>
          <w:szCs w:val="20"/>
        </w:rPr>
        <w:t>. Coronary heart disease and stroke are less frequent (around 4–5%). A simple multimorbidity index, defined as the count of these six conditions per person, shows that about half of individuals have no selected chronic conditions, roughly one fifth have exactly one, and about a quarter have two or more. A small but important subgroup (about 3–4%) has four or more conditions. Detailed prevalence estimates and the multimorbidity distribution are shown in Appendix A (Figure A.7).</w:t>
      </w:r>
    </w:p>
    <w:p w14:paraId="2575CDBF" w14:textId="77777777"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4.3 Missing data patterns</w:t>
      </w:r>
    </w:p>
    <w:p w14:paraId="3362EA22" w14:textId="77777777" w:rsidR="00D20B01" w:rsidRPr="005F421D"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lastRenderedPageBreak/>
        <w:t xml:space="preserve">Variable-wise missingness was </w:t>
      </w:r>
      <w:r w:rsidRPr="007F4AB5">
        <w:rPr>
          <w:rFonts w:ascii="Arial" w:hAnsi="Arial" w:cs="Arial"/>
          <w:sz w:val="20"/>
          <w:szCs w:val="20"/>
        </w:rPr>
        <w:t>summarized</w:t>
      </w:r>
      <w:r w:rsidRPr="005F421D">
        <w:rPr>
          <w:rFonts w:ascii="Arial" w:hAnsi="Arial" w:cs="Arial"/>
          <w:sz w:val="20"/>
          <w:szCs w:val="20"/>
        </w:rPr>
        <w:t xml:space="preserve"> by computing the proportion of missing values for each core variable. Most key variables used as predictors or outcomes—such as age, sex, region, poverty category, insurance coverage, </w:t>
      </w:r>
      <w:r w:rsidRPr="007F4AB5">
        <w:rPr>
          <w:rFonts w:ascii="Arial" w:hAnsi="Arial" w:cs="Arial"/>
          <w:sz w:val="20"/>
          <w:szCs w:val="20"/>
        </w:rPr>
        <w:t>utilization</w:t>
      </w:r>
      <w:r w:rsidRPr="005F421D">
        <w:rPr>
          <w:rFonts w:ascii="Arial" w:hAnsi="Arial" w:cs="Arial"/>
          <w:sz w:val="20"/>
          <w:szCs w:val="20"/>
        </w:rPr>
        <w:t xml:space="preserve"> and expenditure measures—have </w:t>
      </w:r>
      <w:r w:rsidRPr="005F421D">
        <w:rPr>
          <w:rFonts w:ascii="Arial" w:hAnsi="Arial" w:cs="Arial"/>
          <w:b/>
          <w:bCs/>
          <w:sz w:val="20"/>
          <w:szCs w:val="20"/>
        </w:rPr>
        <w:t>very low missingness</w:t>
      </w:r>
      <w:r w:rsidRPr="005F421D">
        <w:rPr>
          <w:rFonts w:ascii="Arial" w:hAnsi="Arial" w:cs="Arial"/>
          <w:sz w:val="20"/>
          <w:szCs w:val="20"/>
        </w:rPr>
        <w:t xml:space="preserve"> (close to 0%).</w:t>
      </w:r>
    </w:p>
    <w:p w14:paraId="74BCFAB5" w14:textId="77777777" w:rsidR="00D20B01" w:rsidRPr="005F421D"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A few variables exhibit substantial or extreme missingness:</w:t>
      </w:r>
    </w:p>
    <w:p w14:paraId="10EAE239" w14:textId="77777777" w:rsidR="00D20B01" w:rsidRPr="005F421D" w:rsidRDefault="00D20B01" w:rsidP="00D20B01">
      <w:pPr>
        <w:numPr>
          <w:ilvl w:val="0"/>
          <w:numId w:val="2"/>
        </w:num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The coverage-history flags </w:t>
      </w:r>
      <w:r w:rsidRPr="005F421D">
        <w:rPr>
          <w:rFonts w:ascii="Arial" w:hAnsi="Arial" w:cs="Arial"/>
          <w:b/>
          <w:bCs/>
          <w:sz w:val="20"/>
          <w:szCs w:val="20"/>
        </w:rPr>
        <w:t>PREVCOVR</w:t>
      </w:r>
      <w:r w:rsidRPr="005F421D">
        <w:rPr>
          <w:rFonts w:ascii="Arial" w:hAnsi="Arial" w:cs="Arial"/>
          <w:sz w:val="20"/>
          <w:szCs w:val="20"/>
        </w:rPr>
        <w:t xml:space="preserve"> and </w:t>
      </w:r>
      <w:r w:rsidRPr="005F421D">
        <w:rPr>
          <w:rFonts w:ascii="Arial" w:hAnsi="Arial" w:cs="Arial"/>
          <w:b/>
          <w:bCs/>
          <w:sz w:val="20"/>
          <w:szCs w:val="20"/>
        </w:rPr>
        <w:t>MORECOVR</w:t>
      </w:r>
      <w:r w:rsidRPr="005F421D">
        <w:rPr>
          <w:rFonts w:ascii="Arial" w:hAnsi="Arial" w:cs="Arial"/>
          <w:sz w:val="20"/>
          <w:szCs w:val="20"/>
        </w:rPr>
        <w:t xml:space="preserve"> are missing for </w:t>
      </w:r>
      <w:r w:rsidRPr="005F421D">
        <w:rPr>
          <w:rFonts w:ascii="Arial" w:hAnsi="Arial" w:cs="Arial"/>
          <w:b/>
          <w:bCs/>
          <w:sz w:val="20"/>
          <w:szCs w:val="20"/>
        </w:rPr>
        <w:t>nearly all individuals</w:t>
      </w:r>
      <w:r w:rsidRPr="005F421D">
        <w:rPr>
          <w:rFonts w:ascii="Arial" w:hAnsi="Arial" w:cs="Arial"/>
          <w:sz w:val="20"/>
          <w:szCs w:val="20"/>
        </w:rPr>
        <w:t xml:space="preserve"> (&gt;85–95%), reflecting the fact that they apply only to narrowly defined subgroups. These variables are therefore not suitable as general-purpose predictors and will be excluded from the modeling feature set.</w:t>
      </w:r>
    </w:p>
    <w:p w14:paraId="1DF570E9" w14:textId="77777777" w:rsidR="00D20B01" w:rsidRPr="005F421D" w:rsidRDefault="00D20B01" w:rsidP="00D20B01">
      <w:pPr>
        <w:numPr>
          <w:ilvl w:val="0"/>
          <w:numId w:val="2"/>
        </w:num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Employment variables </w:t>
      </w:r>
      <w:r w:rsidRPr="005F421D">
        <w:rPr>
          <w:rFonts w:ascii="Arial" w:hAnsi="Arial" w:cs="Arial"/>
          <w:b/>
          <w:bCs/>
          <w:sz w:val="20"/>
          <w:szCs w:val="20"/>
        </w:rPr>
        <w:t>EVRWRKY1/2</w:t>
      </w:r>
      <w:r w:rsidRPr="005F421D">
        <w:rPr>
          <w:rFonts w:ascii="Arial" w:hAnsi="Arial" w:cs="Arial"/>
          <w:sz w:val="20"/>
          <w:szCs w:val="20"/>
        </w:rPr>
        <w:t xml:space="preserve"> and the round-specific employment status indicators </w:t>
      </w:r>
      <w:r w:rsidRPr="005F421D">
        <w:rPr>
          <w:rFonts w:ascii="Arial" w:hAnsi="Arial" w:cs="Arial"/>
          <w:b/>
          <w:bCs/>
          <w:sz w:val="20"/>
          <w:szCs w:val="20"/>
        </w:rPr>
        <w:t>EMPST1–EMPST5</w:t>
      </w:r>
      <w:r w:rsidRPr="005F421D">
        <w:rPr>
          <w:rFonts w:ascii="Arial" w:hAnsi="Arial" w:cs="Arial"/>
          <w:sz w:val="20"/>
          <w:szCs w:val="20"/>
        </w:rPr>
        <w:t xml:space="preserve"> have </w:t>
      </w:r>
      <w:r w:rsidRPr="005F421D">
        <w:rPr>
          <w:rFonts w:ascii="Arial" w:hAnsi="Arial" w:cs="Arial"/>
          <w:b/>
          <w:bCs/>
          <w:sz w:val="20"/>
          <w:szCs w:val="20"/>
        </w:rPr>
        <w:t>moderate to high apparent missingness</w:t>
      </w:r>
      <w:r w:rsidRPr="005F421D">
        <w:rPr>
          <w:rFonts w:ascii="Arial" w:hAnsi="Arial" w:cs="Arial"/>
          <w:sz w:val="20"/>
          <w:szCs w:val="20"/>
        </w:rPr>
        <w:t xml:space="preserve">. </w:t>
      </w:r>
      <w:r w:rsidRPr="007F4AB5">
        <w:rPr>
          <w:rFonts w:ascii="Arial" w:hAnsi="Arial" w:cs="Arial"/>
          <w:sz w:val="20"/>
          <w:szCs w:val="20"/>
        </w:rPr>
        <w:t>L</w:t>
      </w:r>
      <w:r w:rsidRPr="005F421D">
        <w:rPr>
          <w:rFonts w:ascii="Arial" w:hAnsi="Arial" w:cs="Arial"/>
          <w:sz w:val="20"/>
          <w:szCs w:val="20"/>
        </w:rPr>
        <w:t xml:space="preserve">argely because many records are inapplicable for children and non-working-age adults. </w:t>
      </w:r>
    </w:p>
    <w:p w14:paraId="6BF96A11" w14:textId="77777777" w:rsidR="00D20B01" w:rsidRPr="005F421D" w:rsidRDefault="00D20B01" w:rsidP="00D20B01">
      <w:pPr>
        <w:numPr>
          <w:ilvl w:val="0"/>
          <w:numId w:val="2"/>
        </w:numPr>
        <w:spacing w:before="100" w:beforeAutospacing="1" w:after="100" w:afterAutospacing="1" w:line="276" w:lineRule="auto"/>
        <w:rPr>
          <w:rFonts w:ascii="Arial" w:hAnsi="Arial" w:cs="Arial"/>
          <w:sz w:val="20"/>
          <w:szCs w:val="20"/>
          <w:highlight w:val="yellow"/>
        </w:rPr>
      </w:pPr>
      <w:r w:rsidRPr="005F421D">
        <w:rPr>
          <w:rFonts w:ascii="Arial" w:hAnsi="Arial" w:cs="Arial"/>
          <w:sz w:val="20"/>
          <w:szCs w:val="20"/>
        </w:rPr>
        <w:t xml:space="preserve">Chronic condition indicators and some health-status variables have </w:t>
      </w:r>
      <w:r w:rsidRPr="005F421D">
        <w:rPr>
          <w:rFonts w:ascii="Arial" w:hAnsi="Arial" w:cs="Arial"/>
          <w:b/>
          <w:bCs/>
          <w:sz w:val="20"/>
          <w:szCs w:val="20"/>
        </w:rPr>
        <w:t>moderate missingness</w:t>
      </w:r>
      <w:r w:rsidRPr="005F421D">
        <w:rPr>
          <w:rFonts w:ascii="Arial" w:hAnsi="Arial" w:cs="Arial"/>
          <w:sz w:val="20"/>
          <w:szCs w:val="20"/>
        </w:rPr>
        <w:t xml:space="preserve"> (around 15–20%), mainly due to skip patterns and inapplicable cases. Given their clinical relevance and reasonably large observed sample, they are retained as predictors. </w:t>
      </w:r>
      <w:r w:rsidRPr="005F421D">
        <w:rPr>
          <w:rFonts w:ascii="Arial" w:hAnsi="Arial" w:cs="Arial"/>
          <w:sz w:val="20"/>
          <w:szCs w:val="20"/>
          <w:highlight w:val="yellow"/>
        </w:rPr>
        <w:t>For tree-based models, missing values will be handled natively; for linear models, simple imputation strategies (e.g. missing-indicator approach or chained equations restricted to key predictors) will be considered in Phase II.</w:t>
      </w:r>
    </w:p>
    <w:p w14:paraId="5A66FCB2" w14:textId="77777777" w:rsidR="00D20B01" w:rsidRPr="005F421D" w:rsidRDefault="00D20B01" w:rsidP="00D20B01">
      <w:pPr>
        <w:spacing w:before="100" w:beforeAutospacing="1" w:after="100" w:afterAutospacing="1" w:line="276" w:lineRule="auto"/>
        <w:rPr>
          <w:rFonts w:ascii="Arial" w:hAnsi="Arial" w:cs="Arial"/>
          <w:i/>
          <w:iCs/>
          <w:sz w:val="20"/>
          <w:szCs w:val="20"/>
        </w:rPr>
      </w:pPr>
      <w:r w:rsidRPr="005F421D">
        <w:rPr>
          <w:rFonts w:ascii="Arial" w:hAnsi="Arial" w:cs="Arial"/>
          <w:sz w:val="20"/>
          <w:szCs w:val="20"/>
        </w:rPr>
        <w:t xml:space="preserve">At the group level, average missingness is lowest for demographics, SES, insurance coverage and </w:t>
      </w:r>
      <w:r w:rsidRPr="007F4AB5">
        <w:rPr>
          <w:rFonts w:ascii="Arial" w:hAnsi="Arial" w:cs="Arial"/>
          <w:sz w:val="20"/>
          <w:szCs w:val="20"/>
        </w:rPr>
        <w:t>utilization</w:t>
      </w:r>
      <w:r w:rsidRPr="005F421D">
        <w:rPr>
          <w:rFonts w:ascii="Arial" w:hAnsi="Arial" w:cs="Arial"/>
          <w:sz w:val="20"/>
          <w:szCs w:val="20"/>
        </w:rPr>
        <w:t>/cost variables; higher for employment; and moderate for chronic conditions. This pattern suggests that a complete-case approach is acceptable for core demographic and SES variables, while more careful treatment is needed for employment and clinical indicators.</w:t>
      </w:r>
    </w:p>
    <w:p w14:paraId="3BF90F82" w14:textId="77777777" w:rsidR="00D20B01" w:rsidRPr="005F421D" w:rsidRDefault="00D20B01" w:rsidP="00D20B01">
      <w:pPr>
        <w:spacing w:before="100" w:beforeAutospacing="1" w:after="100" w:afterAutospacing="1" w:line="276" w:lineRule="auto"/>
        <w:rPr>
          <w:rFonts w:ascii="Arial" w:hAnsi="Arial" w:cs="Arial"/>
          <w:b/>
          <w:bCs/>
          <w:sz w:val="20"/>
          <w:szCs w:val="20"/>
        </w:rPr>
      </w:pPr>
      <w:r w:rsidRPr="005F421D">
        <w:rPr>
          <w:rFonts w:ascii="Arial" w:hAnsi="Arial" w:cs="Arial"/>
          <w:b/>
          <w:bCs/>
          <w:sz w:val="20"/>
          <w:szCs w:val="20"/>
        </w:rPr>
        <w:t xml:space="preserve">4.4 Outcomes and </w:t>
      </w:r>
      <w:r w:rsidRPr="007F4AB5">
        <w:rPr>
          <w:rFonts w:ascii="Arial" w:hAnsi="Arial" w:cs="Arial"/>
          <w:b/>
          <w:bCs/>
          <w:sz w:val="20"/>
          <w:szCs w:val="20"/>
        </w:rPr>
        <w:t>utilization</w:t>
      </w:r>
    </w:p>
    <w:p w14:paraId="5CD4B5B5" w14:textId="77777777" w:rsidR="00D20B01" w:rsidRPr="007F4AB5"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The main continuous outcome of interest is </w:t>
      </w:r>
      <w:r w:rsidRPr="005F421D">
        <w:rPr>
          <w:rFonts w:ascii="Arial" w:hAnsi="Arial" w:cs="Arial"/>
          <w:b/>
          <w:bCs/>
          <w:sz w:val="20"/>
          <w:szCs w:val="20"/>
        </w:rPr>
        <w:t>total health care expenditure in year 2 (TOTEXPY2)</w:t>
      </w:r>
      <w:r w:rsidRPr="005F421D">
        <w:rPr>
          <w:rFonts w:ascii="Arial" w:hAnsi="Arial" w:cs="Arial"/>
          <w:sz w:val="20"/>
          <w:szCs w:val="20"/>
        </w:rPr>
        <w:t xml:space="preserve">, with year-1 total expenditure (TOTEXPY1) used both as a key predictor and for descriptive comparison. Both variables display a </w:t>
      </w:r>
      <w:r w:rsidRPr="005F421D">
        <w:rPr>
          <w:rFonts w:ascii="Arial" w:hAnsi="Arial" w:cs="Arial"/>
          <w:b/>
          <w:bCs/>
          <w:sz w:val="20"/>
          <w:szCs w:val="20"/>
        </w:rPr>
        <w:t>highly right-skewed, heavy-tailed distribution</w:t>
      </w:r>
      <w:r w:rsidRPr="005F421D">
        <w:rPr>
          <w:rFonts w:ascii="Arial" w:hAnsi="Arial" w:cs="Arial"/>
          <w:sz w:val="20"/>
          <w:szCs w:val="20"/>
        </w:rPr>
        <w:t xml:space="preserve">. In year 1, the median expenditure is about </w:t>
      </w:r>
      <w:r w:rsidRPr="005F421D">
        <w:rPr>
          <w:rFonts w:ascii="Arial" w:hAnsi="Arial" w:cs="Arial"/>
          <w:b/>
          <w:bCs/>
          <w:sz w:val="20"/>
          <w:szCs w:val="20"/>
        </w:rPr>
        <w:t>$1,800</w:t>
      </w:r>
      <w:r w:rsidRPr="005F421D">
        <w:rPr>
          <w:rFonts w:ascii="Arial" w:hAnsi="Arial" w:cs="Arial"/>
          <w:sz w:val="20"/>
          <w:szCs w:val="20"/>
        </w:rPr>
        <w:t xml:space="preserve">, with an interquartile range of approximately </w:t>
      </w:r>
      <w:r w:rsidRPr="005F421D">
        <w:rPr>
          <w:rFonts w:ascii="Arial" w:hAnsi="Arial" w:cs="Arial"/>
          <w:b/>
          <w:bCs/>
          <w:sz w:val="20"/>
          <w:szCs w:val="20"/>
        </w:rPr>
        <w:t>$340–$6,600</w:t>
      </w:r>
      <w:r w:rsidRPr="005F421D">
        <w:rPr>
          <w:rFonts w:ascii="Arial" w:hAnsi="Arial" w:cs="Arial"/>
          <w:sz w:val="20"/>
          <w:szCs w:val="20"/>
        </w:rPr>
        <w:t xml:space="preserve"> and a mean of </w:t>
      </w:r>
      <w:r w:rsidRPr="005F421D">
        <w:rPr>
          <w:rFonts w:ascii="Arial" w:hAnsi="Arial" w:cs="Arial"/>
          <w:b/>
          <w:bCs/>
          <w:sz w:val="20"/>
          <w:szCs w:val="20"/>
        </w:rPr>
        <w:t>$7,600</w:t>
      </w:r>
      <w:r w:rsidRPr="005F421D">
        <w:rPr>
          <w:rFonts w:ascii="Arial" w:hAnsi="Arial" w:cs="Arial"/>
          <w:sz w:val="20"/>
          <w:szCs w:val="20"/>
        </w:rPr>
        <w:t xml:space="preserve">. The 95th and 99th percentiles are around </w:t>
      </w:r>
      <w:r w:rsidRPr="005F421D">
        <w:rPr>
          <w:rFonts w:ascii="Arial" w:hAnsi="Arial" w:cs="Arial"/>
          <w:b/>
          <w:bCs/>
          <w:sz w:val="20"/>
          <w:szCs w:val="20"/>
        </w:rPr>
        <w:t>$31,000</w:t>
      </w:r>
      <w:r w:rsidRPr="005F421D">
        <w:rPr>
          <w:rFonts w:ascii="Arial" w:hAnsi="Arial" w:cs="Arial"/>
          <w:sz w:val="20"/>
          <w:szCs w:val="20"/>
        </w:rPr>
        <w:t xml:space="preserve"> and </w:t>
      </w:r>
      <w:r w:rsidRPr="005F421D">
        <w:rPr>
          <w:rFonts w:ascii="Arial" w:hAnsi="Arial" w:cs="Arial"/>
          <w:b/>
          <w:bCs/>
          <w:sz w:val="20"/>
          <w:szCs w:val="20"/>
        </w:rPr>
        <w:t>$83,000</w:t>
      </w:r>
      <w:r w:rsidRPr="005F421D">
        <w:rPr>
          <w:rFonts w:ascii="Arial" w:hAnsi="Arial" w:cs="Arial"/>
          <w:sz w:val="20"/>
          <w:szCs w:val="20"/>
        </w:rPr>
        <w:t xml:space="preserve">, respectively, and the maximum exceeds </w:t>
      </w:r>
      <w:r w:rsidRPr="005F421D">
        <w:rPr>
          <w:rFonts w:ascii="Arial" w:hAnsi="Arial" w:cs="Arial"/>
          <w:b/>
          <w:bCs/>
          <w:sz w:val="20"/>
          <w:szCs w:val="20"/>
        </w:rPr>
        <w:t>$800,000</w:t>
      </w:r>
      <w:r w:rsidRPr="005F421D">
        <w:rPr>
          <w:rFonts w:ascii="Arial" w:hAnsi="Arial" w:cs="Arial"/>
          <w:sz w:val="20"/>
          <w:szCs w:val="20"/>
        </w:rPr>
        <w:t xml:space="preserve">. Year-2 expenditures are similar, with a median again around </w:t>
      </w:r>
      <w:r w:rsidRPr="005F421D">
        <w:rPr>
          <w:rFonts w:ascii="Arial" w:hAnsi="Arial" w:cs="Arial"/>
          <w:b/>
          <w:bCs/>
          <w:sz w:val="20"/>
          <w:szCs w:val="20"/>
        </w:rPr>
        <w:t>$1,800</w:t>
      </w:r>
      <w:r w:rsidRPr="005F421D">
        <w:rPr>
          <w:rFonts w:ascii="Arial" w:hAnsi="Arial" w:cs="Arial"/>
          <w:sz w:val="20"/>
          <w:szCs w:val="20"/>
        </w:rPr>
        <w:t>, a slightly higher mean (</w:t>
      </w:r>
      <w:r w:rsidRPr="005F421D">
        <w:rPr>
          <w:rFonts w:ascii="Arial" w:hAnsi="Arial" w:cs="Arial"/>
          <w:b/>
          <w:bCs/>
          <w:sz w:val="20"/>
          <w:szCs w:val="20"/>
        </w:rPr>
        <w:t>$8,300</w:t>
      </w:r>
      <w:r w:rsidRPr="005F421D">
        <w:rPr>
          <w:rFonts w:ascii="Arial" w:hAnsi="Arial" w:cs="Arial"/>
          <w:sz w:val="20"/>
          <w:szCs w:val="20"/>
        </w:rPr>
        <w:t xml:space="preserve">) and a 99th percentile close to </w:t>
      </w:r>
      <w:r w:rsidRPr="005F421D">
        <w:rPr>
          <w:rFonts w:ascii="Arial" w:hAnsi="Arial" w:cs="Arial"/>
          <w:b/>
          <w:bCs/>
          <w:sz w:val="20"/>
          <w:szCs w:val="20"/>
        </w:rPr>
        <w:t>$93,000</w:t>
      </w:r>
      <w:r w:rsidRPr="005F421D">
        <w:rPr>
          <w:rFonts w:ascii="Arial" w:hAnsi="Arial" w:cs="Arial"/>
          <w:sz w:val="20"/>
          <w:szCs w:val="20"/>
        </w:rPr>
        <w:t xml:space="preserve">. Only a small fraction of individuals </w:t>
      </w:r>
      <w:r w:rsidRPr="007F4AB5">
        <w:rPr>
          <w:rFonts w:ascii="Arial" w:hAnsi="Arial" w:cs="Arial"/>
          <w:sz w:val="20"/>
          <w:szCs w:val="20"/>
        </w:rPr>
        <w:t>accounts</w:t>
      </w:r>
      <w:r w:rsidRPr="005F421D">
        <w:rPr>
          <w:rFonts w:ascii="Arial" w:hAnsi="Arial" w:cs="Arial"/>
          <w:sz w:val="20"/>
          <w:szCs w:val="20"/>
        </w:rPr>
        <w:t xml:space="preserve"> for extremely high expenditures, while many have low or zero spending </w:t>
      </w:r>
      <w:proofErr w:type="gramStart"/>
      <w:r w:rsidRPr="005F421D">
        <w:rPr>
          <w:rFonts w:ascii="Arial" w:hAnsi="Arial" w:cs="Arial"/>
          <w:sz w:val="20"/>
          <w:szCs w:val="20"/>
        </w:rPr>
        <w:t>in a given year</w:t>
      </w:r>
      <w:proofErr w:type="gramEnd"/>
      <w:r w:rsidRPr="005F421D">
        <w:rPr>
          <w:rFonts w:ascii="Arial" w:hAnsi="Arial" w:cs="Arial"/>
          <w:sz w:val="20"/>
          <w:szCs w:val="20"/>
        </w:rPr>
        <w:t>.</w:t>
      </w:r>
      <w:r w:rsidRPr="005F421D">
        <w:rPr>
          <w:rFonts w:ascii="Arial" w:hAnsi="Arial" w:cs="Arial"/>
          <w:sz w:val="20"/>
          <w:szCs w:val="20"/>
        </w:rPr>
        <w:br/>
      </w:r>
    </w:p>
    <w:p w14:paraId="674BC588" w14:textId="77777777" w:rsidR="00D20B01" w:rsidRPr="007F4AB5"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t xml:space="preserve">Figure 4.1/2 show histograms of TOTEXPY1 and TOTEXPY2 on the original dollar scale with a logarithmic y-axis. They illustrate that most individuals have low or moderate annual expenditures, while a small minority account for very high costs. </w:t>
      </w:r>
    </w:p>
    <w:p w14:paraId="60E5D802" w14:textId="77777777" w:rsidR="00D20B01" w:rsidRPr="007F4AB5"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lastRenderedPageBreak/>
        <w:drawing>
          <wp:inline distT="0" distB="0" distL="0" distR="0" wp14:anchorId="6A59DE13" wp14:editId="14A973A5">
            <wp:extent cx="3614400" cy="2405488"/>
            <wp:effectExtent l="0" t="0" r="5715" b="0"/>
            <wp:docPr id="775001396" name="Picture 1" descr="A graph of a distribution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01396" name="Picture 1" descr="A graph of a distribution of data&#10;&#10;AI-generated content may be incorrect."/>
                    <pic:cNvPicPr/>
                  </pic:nvPicPr>
                  <pic:blipFill>
                    <a:blip r:embed="rId5"/>
                    <a:stretch>
                      <a:fillRect/>
                    </a:stretch>
                  </pic:blipFill>
                  <pic:spPr>
                    <a:xfrm>
                      <a:off x="0" y="0"/>
                      <a:ext cx="3656744" cy="2433669"/>
                    </a:xfrm>
                    <a:prstGeom prst="rect">
                      <a:avLst/>
                    </a:prstGeom>
                  </pic:spPr>
                </pic:pic>
              </a:graphicData>
            </a:graphic>
          </wp:inline>
        </w:drawing>
      </w:r>
    </w:p>
    <w:p w14:paraId="6C9CAA41" w14:textId="77777777" w:rsidR="00D20B01" w:rsidRPr="007F4AB5" w:rsidRDefault="00D20B01" w:rsidP="00D20B01">
      <w:pPr>
        <w:spacing w:before="100" w:beforeAutospacing="1" w:after="100" w:afterAutospacing="1" w:line="276" w:lineRule="auto"/>
        <w:rPr>
          <w:rFonts w:ascii="Arial" w:hAnsi="Arial" w:cs="Arial"/>
          <w:i/>
          <w:iCs/>
          <w:sz w:val="20"/>
          <w:szCs w:val="20"/>
        </w:rPr>
      </w:pPr>
      <w:r w:rsidRPr="007F4AB5">
        <w:rPr>
          <w:rFonts w:ascii="Arial" w:hAnsi="Arial" w:cs="Arial"/>
          <w:i/>
          <w:iCs/>
          <w:sz w:val="20"/>
          <w:szCs w:val="20"/>
        </w:rPr>
        <w:t>Figure 4.1 Distribution of TOTEXPY1</w:t>
      </w:r>
    </w:p>
    <w:p w14:paraId="513C5E2C" w14:textId="77777777" w:rsidR="00D20B01" w:rsidRPr="007F4AB5"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drawing>
          <wp:inline distT="0" distB="0" distL="0" distR="0" wp14:anchorId="43C63444" wp14:editId="25CFFECE">
            <wp:extent cx="3613785" cy="2396898"/>
            <wp:effectExtent l="0" t="0" r="5715" b="3810"/>
            <wp:docPr id="379642425" name="Picture 1" descr="A graph of a distribution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2425" name="Picture 1" descr="A graph of a distribution of a number&#10;&#10;AI-generated content may be incorrect."/>
                    <pic:cNvPicPr/>
                  </pic:nvPicPr>
                  <pic:blipFill>
                    <a:blip r:embed="rId6"/>
                    <a:stretch>
                      <a:fillRect/>
                    </a:stretch>
                  </pic:blipFill>
                  <pic:spPr>
                    <a:xfrm>
                      <a:off x="0" y="0"/>
                      <a:ext cx="3626910" cy="2405603"/>
                    </a:xfrm>
                    <a:prstGeom prst="rect">
                      <a:avLst/>
                    </a:prstGeom>
                  </pic:spPr>
                </pic:pic>
              </a:graphicData>
            </a:graphic>
          </wp:inline>
        </w:drawing>
      </w:r>
    </w:p>
    <w:p w14:paraId="13F5A0AB" w14:textId="77777777" w:rsidR="00D20B01" w:rsidRPr="005F421D" w:rsidRDefault="00D20B01" w:rsidP="00D20B01">
      <w:pPr>
        <w:spacing w:before="100" w:beforeAutospacing="1" w:after="100" w:afterAutospacing="1" w:line="276" w:lineRule="auto"/>
        <w:rPr>
          <w:rFonts w:ascii="Arial" w:hAnsi="Arial" w:cs="Arial"/>
          <w:i/>
          <w:iCs/>
          <w:sz w:val="20"/>
          <w:szCs w:val="20"/>
        </w:rPr>
      </w:pPr>
      <w:r w:rsidRPr="007F4AB5">
        <w:rPr>
          <w:rFonts w:ascii="Arial" w:hAnsi="Arial" w:cs="Arial"/>
          <w:i/>
          <w:iCs/>
          <w:sz w:val="20"/>
          <w:szCs w:val="20"/>
        </w:rPr>
        <w:t>Figure 4.2: Distribution of TOTEXPY2</w:t>
      </w:r>
    </w:p>
    <w:p w14:paraId="51217C10" w14:textId="77777777" w:rsidR="00D20B01" w:rsidRPr="005F421D" w:rsidRDefault="00D20B01" w:rsidP="00D20B01">
      <w:p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For acute care </w:t>
      </w:r>
      <w:r w:rsidRPr="007F4AB5">
        <w:rPr>
          <w:rFonts w:ascii="Arial" w:hAnsi="Arial" w:cs="Arial"/>
          <w:sz w:val="20"/>
          <w:szCs w:val="20"/>
        </w:rPr>
        <w:t>utilization</w:t>
      </w:r>
      <w:r w:rsidRPr="005F421D">
        <w:rPr>
          <w:rFonts w:ascii="Arial" w:hAnsi="Arial" w:cs="Arial"/>
          <w:sz w:val="20"/>
          <w:szCs w:val="20"/>
        </w:rPr>
        <w:t xml:space="preserve">, year-2 emergency department and inpatient use are </w:t>
      </w:r>
      <w:r w:rsidRPr="007F4AB5">
        <w:rPr>
          <w:rFonts w:ascii="Arial" w:hAnsi="Arial" w:cs="Arial"/>
          <w:sz w:val="20"/>
          <w:szCs w:val="20"/>
        </w:rPr>
        <w:t>summarized</w:t>
      </w:r>
      <w:r w:rsidRPr="005F421D">
        <w:rPr>
          <w:rFonts w:ascii="Arial" w:hAnsi="Arial" w:cs="Arial"/>
          <w:sz w:val="20"/>
          <w:szCs w:val="20"/>
        </w:rPr>
        <w:t xml:space="preserve"> both as counts and as binary indicators:</w:t>
      </w:r>
    </w:p>
    <w:p w14:paraId="0CA157A5" w14:textId="77777777" w:rsidR="00D20B01" w:rsidRPr="005F421D" w:rsidRDefault="00D20B01" w:rsidP="00D20B01">
      <w:pPr>
        <w:numPr>
          <w:ilvl w:val="0"/>
          <w:numId w:val="3"/>
        </w:num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About </w:t>
      </w:r>
      <w:r w:rsidRPr="005F421D">
        <w:rPr>
          <w:rFonts w:ascii="Arial" w:hAnsi="Arial" w:cs="Arial"/>
          <w:b/>
          <w:bCs/>
          <w:sz w:val="20"/>
          <w:szCs w:val="20"/>
        </w:rPr>
        <w:t>14%</w:t>
      </w:r>
      <w:r w:rsidRPr="005F421D">
        <w:rPr>
          <w:rFonts w:ascii="Arial" w:hAnsi="Arial" w:cs="Arial"/>
          <w:sz w:val="20"/>
          <w:szCs w:val="20"/>
        </w:rPr>
        <w:t xml:space="preserve"> of individuals have </w:t>
      </w:r>
      <w:r w:rsidRPr="005F421D">
        <w:rPr>
          <w:rFonts w:ascii="Arial" w:hAnsi="Arial" w:cs="Arial"/>
          <w:b/>
          <w:bCs/>
          <w:sz w:val="20"/>
          <w:szCs w:val="20"/>
        </w:rPr>
        <w:t>at least one</w:t>
      </w:r>
      <w:r w:rsidRPr="005F421D">
        <w:rPr>
          <w:rFonts w:ascii="Arial" w:hAnsi="Arial" w:cs="Arial"/>
          <w:sz w:val="20"/>
          <w:szCs w:val="20"/>
        </w:rPr>
        <w:t xml:space="preserve"> </w:t>
      </w:r>
      <w:r w:rsidRPr="005F421D">
        <w:rPr>
          <w:rFonts w:ascii="Arial" w:hAnsi="Arial" w:cs="Arial"/>
          <w:b/>
          <w:bCs/>
          <w:sz w:val="20"/>
          <w:szCs w:val="20"/>
        </w:rPr>
        <w:t>ED visit</w:t>
      </w:r>
      <w:r w:rsidRPr="005F421D">
        <w:rPr>
          <w:rFonts w:ascii="Arial" w:hAnsi="Arial" w:cs="Arial"/>
          <w:sz w:val="20"/>
          <w:szCs w:val="20"/>
        </w:rPr>
        <w:t xml:space="preserve"> in year 2 (ANY_ED_Y2=1), while roughly </w:t>
      </w:r>
      <w:r w:rsidRPr="005F421D">
        <w:rPr>
          <w:rFonts w:ascii="Arial" w:hAnsi="Arial" w:cs="Arial"/>
          <w:b/>
          <w:bCs/>
          <w:sz w:val="20"/>
          <w:szCs w:val="20"/>
        </w:rPr>
        <w:t>7%</w:t>
      </w:r>
      <w:r w:rsidRPr="005F421D">
        <w:rPr>
          <w:rFonts w:ascii="Arial" w:hAnsi="Arial" w:cs="Arial"/>
          <w:sz w:val="20"/>
          <w:szCs w:val="20"/>
        </w:rPr>
        <w:t xml:space="preserve"> have at least one </w:t>
      </w:r>
      <w:r w:rsidRPr="005F421D">
        <w:rPr>
          <w:rFonts w:ascii="Arial" w:hAnsi="Arial" w:cs="Arial"/>
          <w:b/>
          <w:bCs/>
          <w:sz w:val="20"/>
          <w:szCs w:val="20"/>
        </w:rPr>
        <w:t>inpatient stay</w:t>
      </w:r>
      <w:r w:rsidRPr="005F421D">
        <w:rPr>
          <w:rFonts w:ascii="Arial" w:hAnsi="Arial" w:cs="Arial"/>
          <w:sz w:val="20"/>
          <w:szCs w:val="20"/>
        </w:rPr>
        <w:t xml:space="preserve"> (ANY_IP_Y2=1). The majority have no ED visits or </w:t>
      </w:r>
      <w:r w:rsidRPr="007F4AB5">
        <w:rPr>
          <w:rFonts w:ascii="Arial" w:hAnsi="Arial" w:cs="Arial"/>
          <w:sz w:val="20"/>
          <w:szCs w:val="20"/>
        </w:rPr>
        <w:t>hospitalizations</w:t>
      </w:r>
      <w:r w:rsidRPr="005F421D">
        <w:rPr>
          <w:rFonts w:ascii="Arial" w:hAnsi="Arial" w:cs="Arial"/>
          <w:sz w:val="20"/>
          <w:szCs w:val="20"/>
        </w:rPr>
        <w:t xml:space="preserve"> </w:t>
      </w:r>
      <w:r w:rsidRPr="007F4AB5">
        <w:rPr>
          <w:rFonts w:ascii="Arial" w:hAnsi="Arial" w:cs="Arial"/>
          <w:sz w:val="20"/>
          <w:szCs w:val="20"/>
        </w:rPr>
        <w:t>each year</w:t>
      </w:r>
      <w:r w:rsidRPr="005F421D">
        <w:rPr>
          <w:rFonts w:ascii="Arial" w:hAnsi="Arial" w:cs="Arial"/>
          <w:sz w:val="20"/>
          <w:szCs w:val="20"/>
        </w:rPr>
        <w:t>.</w:t>
      </w:r>
    </w:p>
    <w:p w14:paraId="24AC02A6" w14:textId="77777777" w:rsidR="00D20B01" w:rsidRPr="005F421D" w:rsidRDefault="00D20B01" w:rsidP="00D20B01">
      <w:pPr>
        <w:numPr>
          <w:ilvl w:val="0"/>
          <w:numId w:val="3"/>
        </w:numPr>
        <w:spacing w:before="100" w:beforeAutospacing="1" w:after="100" w:afterAutospacing="1" w:line="276" w:lineRule="auto"/>
        <w:rPr>
          <w:rFonts w:ascii="Arial" w:hAnsi="Arial" w:cs="Arial"/>
          <w:sz w:val="20"/>
          <w:szCs w:val="20"/>
        </w:rPr>
      </w:pPr>
      <w:r w:rsidRPr="005F421D">
        <w:rPr>
          <w:rFonts w:ascii="Arial" w:hAnsi="Arial" w:cs="Arial"/>
          <w:sz w:val="20"/>
          <w:szCs w:val="20"/>
        </w:rPr>
        <w:t xml:space="preserve">Count variables </w:t>
      </w:r>
      <w:r w:rsidRPr="005F421D">
        <w:rPr>
          <w:rFonts w:ascii="Arial" w:hAnsi="Arial" w:cs="Arial"/>
          <w:b/>
          <w:bCs/>
          <w:sz w:val="20"/>
          <w:szCs w:val="20"/>
        </w:rPr>
        <w:t>ERTOTY2</w:t>
      </w:r>
      <w:r w:rsidRPr="005F421D">
        <w:rPr>
          <w:rFonts w:ascii="Arial" w:hAnsi="Arial" w:cs="Arial"/>
          <w:sz w:val="20"/>
          <w:szCs w:val="20"/>
        </w:rPr>
        <w:t xml:space="preserve"> (number of ED visits) and </w:t>
      </w:r>
      <w:r w:rsidRPr="005F421D">
        <w:rPr>
          <w:rFonts w:ascii="Arial" w:hAnsi="Arial" w:cs="Arial"/>
          <w:b/>
          <w:bCs/>
          <w:sz w:val="20"/>
          <w:szCs w:val="20"/>
        </w:rPr>
        <w:t>IPDISY2</w:t>
      </w:r>
      <w:r w:rsidRPr="005F421D">
        <w:rPr>
          <w:rFonts w:ascii="Arial" w:hAnsi="Arial" w:cs="Arial"/>
          <w:sz w:val="20"/>
          <w:szCs w:val="20"/>
        </w:rPr>
        <w:t xml:space="preserve"> (number of inpatient discharges) are highly concentrated at zero, with a small number of individuals experiencing multiple events. This zero-inflated pattern motivates modeling ED and inpatient outcomes primarily as </w:t>
      </w:r>
      <w:r w:rsidRPr="005F421D">
        <w:rPr>
          <w:rFonts w:ascii="Arial" w:hAnsi="Arial" w:cs="Arial"/>
          <w:b/>
          <w:bCs/>
          <w:sz w:val="20"/>
          <w:szCs w:val="20"/>
        </w:rPr>
        <w:t>binary events</w:t>
      </w:r>
      <w:r w:rsidRPr="005F421D">
        <w:rPr>
          <w:rFonts w:ascii="Arial" w:hAnsi="Arial" w:cs="Arial"/>
          <w:sz w:val="20"/>
          <w:szCs w:val="20"/>
        </w:rPr>
        <w:t xml:space="preserve"> in the main analysis.</w:t>
      </w:r>
    </w:p>
    <w:p w14:paraId="75EE6C80" w14:textId="77777777" w:rsidR="00D20B01" w:rsidRPr="007F4AB5" w:rsidRDefault="00D20B01" w:rsidP="00D20B01">
      <w:pPr>
        <w:spacing w:before="100" w:beforeAutospacing="1" w:after="100" w:afterAutospacing="1" w:line="276" w:lineRule="auto"/>
        <w:rPr>
          <w:rFonts w:ascii="Arial" w:hAnsi="Arial" w:cs="Arial" w:hint="eastAsia"/>
          <w:sz w:val="20"/>
          <w:szCs w:val="20"/>
        </w:rPr>
      </w:pPr>
      <w:r w:rsidRPr="005F421D">
        <w:rPr>
          <w:rFonts w:ascii="Arial" w:hAnsi="Arial" w:cs="Arial"/>
          <w:sz w:val="20"/>
          <w:szCs w:val="20"/>
        </w:rPr>
        <w:t xml:space="preserve">Finally, the payer-specific expenditure variables provide insight into how total expenditures are financed. In year 2, </w:t>
      </w:r>
      <w:r w:rsidRPr="005F421D">
        <w:rPr>
          <w:rFonts w:ascii="Arial" w:hAnsi="Arial" w:cs="Arial"/>
          <w:b/>
          <w:bCs/>
          <w:sz w:val="20"/>
          <w:szCs w:val="20"/>
        </w:rPr>
        <w:t xml:space="preserve">private insurance and Medicare together account for </w:t>
      </w:r>
      <w:proofErr w:type="gramStart"/>
      <w:r w:rsidRPr="005F421D">
        <w:rPr>
          <w:rFonts w:ascii="Arial" w:hAnsi="Arial" w:cs="Arial"/>
          <w:b/>
          <w:bCs/>
          <w:sz w:val="20"/>
          <w:szCs w:val="20"/>
        </w:rPr>
        <w:t>the majority of</w:t>
      </w:r>
      <w:proofErr w:type="gramEnd"/>
      <w:r w:rsidRPr="005F421D">
        <w:rPr>
          <w:rFonts w:ascii="Arial" w:hAnsi="Arial" w:cs="Arial"/>
          <w:b/>
          <w:bCs/>
          <w:sz w:val="20"/>
          <w:szCs w:val="20"/>
        </w:rPr>
        <w:t xml:space="preserve"> total spending</w:t>
      </w:r>
      <w:r w:rsidRPr="005F421D">
        <w:rPr>
          <w:rFonts w:ascii="Arial" w:hAnsi="Arial" w:cs="Arial"/>
          <w:sz w:val="20"/>
          <w:szCs w:val="20"/>
        </w:rPr>
        <w:t xml:space="preserve">, with </w:t>
      </w:r>
      <w:r w:rsidRPr="005F421D">
        <w:rPr>
          <w:rFonts w:ascii="Arial" w:hAnsi="Arial" w:cs="Arial"/>
          <w:sz w:val="20"/>
          <w:szCs w:val="20"/>
        </w:rPr>
        <w:lastRenderedPageBreak/>
        <w:t xml:space="preserve">smaller shares paid by self/family, Medicaid, and other public programs. At the individual level, most people incur some out-of-pocket </w:t>
      </w:r>
      <w:r w:rsidRPr="007F4AB5">
        <w:rPr>
          <w:rFonts w:ascii="Arial" w:hAnsi="Arial" w:cs="Arial"/>
          <w:sz w:val="20"/>
          <w:szCs w:val="20"/>
        </w:rPr>
        <w:t>spending,</w:t>
      </w:r>
      <w:r w:rsidRPr="005F421D">
        <w:rPr>
          <w:rFonts w:ascii="Arial" w:hAnsi="Arial" w:cs="Arial"/>
          <w:sz w:val="20"/>
          <w:szCs w:val="20"/>
        </w:rPr>
        <w:t xml:space="preserve"> and many have private payments; Medicare and Medicaid payments are concentrated in the subpopulations they cover, with higher per-person amounts among individuals who receive any Medicare payment</w:t>
      </w:r>
      <w:r w:rsidRPr="007F4AB5">
        <w:rPr>
          <w:rFonts w:ascii="Arial" w:hAnsi="Arial" w:cs="Arial"/>
          <w:sz w:val="20"/>
          <w:szCs w:val="20"/>
        </w:rPr>
        <w:t xml:space="preserve"> </w:t>
      </w:r>
      <w:r w:rsidRPr="007F4AB5">
        <w:rPr>
          <w:rFonts w:ascii="Arial" w:eastAsia="SimSun" w:hAnsi="Arial" w:cs="Arial"/>
          <w:sz w:val="20"/>
          <w:szCs w:val="20"/>
        </w:rPr>
        <w:t>—</w:t>
      </w:r>
      <w:r w:rsidRPr="007F4AB5">
        <w:rPr>
          <w:rFonts w:ascii="Arial" w:hAnsi="Arial" w:cs="Arial"/>
          <w:sz w:val="20"/>
          <w:szCs w:val="20"/>
        </w:rPr>
        <w:t>Medicare primarily covers adults aged 65+ and younger individuals with severe disability or chronic conditions, the fact that per-person Medicare payments are substantially higher than for other payers suggests that older and medically complex patients account for a large share of total spending. Detailed payer breakdowns are provided in Appendix A (Figure A.8).</w:t>
      </w:r>
    </w:p>
    <w:p w14:paraId="56C54E4E" w14:textId="77777777" w:rsidR="00D20B01" w:rsidRDefault="00D20B01" w:rsidP="00D20B01">
      <w:pPr>
        <w:spacing w:before="100" w:beforeAutospacing="1" w:after="100" w:afterAutospacing="1" w:line="276" w:lineRule="auto"/>
        <w:rPr>
          <w:rFonts w:ascii="Arial" w:hAnsi="Arial" w:cs="Arial"/>
          <w:sz w:val="20"/>
          <w:szCs w:val="20"/>
        </w:rPr>
      </w:pPr>
      <w:r w:rsidRPr="007F4AB5">
        <w:rPr>
          <w:rFonts w:ascii="Arial" w:hAnsi="Arial" w:cs="Arial"/>
          <w:sz w:val="20"/>
          <w:szCs w:val="20"/>
        </w:rPr>
        <w:t>Overall, t</w:t>
      </w:r>
      <w:r w:rsidRPr="005F421D">
        <w:rPr>
          <w:rFonts w:ascii="Arial" w:hAnsi="Arial" w:cs="Arial"/>
          <w:sz w:val="20"/>
          <w:szCs w:val="20"/>
        </w:rPr>
        <w:t xml:space="preserve">hese descriptive findings confirm that the MEPS Panel 27 data exhibit the expected patterns of skewed cost distributions, concentrated acute </w:t>
      </w:r>
      <w:r w:rsidRPr="007F4AB5">
        <w:rPr>
          <w:rFonts w:ascii="Arial" w:hAnsi="Arial" w:cs="Arial"/>
          <w:sz w:val="20"/>
          <w:szCs w:val="20"/>
        </w:rPr>
        <w:t>utilization</w:t>
      </w:r>
      <w:r w:rsidRPr="005F421D">
        <w:rPr>
          <w:rFonts w:ascii="Arial" w:hAnsi="Arial" w:cs="Arial"/>
          <w:sz w:val="20"/>
          <w:szCs w:val="20"/>
        </w:rPr>
        <w:t xml:space="preserve"> and substantial socio-economic and clinical heterogeneity. They also provide guidance for the modeling strategy in Phase II, particularly the use of log-transformations for expenditure outcomes, binary outcomes for acute events, </w:t>
      </w:r>
      <w:r w:rsidRPr="007F4AB5">
        <w:rPr>
          <w:rFonts w:ascii="Arial" w:hAnsi="Arial" w:cs="Arial"/>
          <w:sz w:val="20"/>
          <w:szCs w:val="20"/>
        </w:rPr>
        <w:t xml:space="preserve">and a rich but controlled </w:t>
      </w:r>
      <w:r w:rsidRPr="005F421D">
        <w:rPr>
          <w:rFonts w:ascii="Arial" w:hAnsi="Arial" w:cs="Arial"/>
          <w:sz w:val="20"/>
          <w:szCs w:val="20"/>
        </w:rPr>
        <w:t>set of predictors drawn from demographics, SES, insurance, employment, health status and chronic conditions.</w:t>
      </w:r>
    </w:p>
    <w:p w14:paraId="1FDAC1C1" w14:textId="77777777" w:rsidR="008B6071" w:rsidRDefault="008B6071" w:rsidP="00D20B01">
      <w:pPr>
        <w:spacing w:before="100" w:beforeAutospacing="1" w:after="100" w:afterAutospacing="1" w:line="276" w:lineRule="auto"/>
        <w:rPr>
          <w:rFonts w:ascii="Arial" w:hAnsi="Arial" w:cs="Arial"/>
          <w:sz w:val="20"/>
          <w:szCs w:val="20"/>
        </w:rPr>
      </w:pPr>
    </w:p>
    <w:p w14:paraId="2B2E869B" w14:textId="77777777" w:rsidR="008B6071" w:rsidRDefault="008B6071" w:rsidP="00D20B01">
      <w:pPr>
        <w:spacing w:before="100" w:beforeAutospacing="1" w:after="100" w:afterAutospacing="1" w:line="276" w:lineRule="auto"/>
        <w:rPr>
          <w:rFonts w:ascii="Arial" w:hAnsi="Arial" w:cs="Arial"/>
          <w:sz w:val="20"/>
          <w:szCs w:val="20"/>
        </w:rPr>
      </w:pPr>
    </w:p>
    <w:p w14:paraId="0E61AA3E" w14:textId="77777777" w:rsidR="008B6071" w:rsidRPr="007F4AB5" w:rsidRDefault="008B6071" w:rsidP="008B6071">
      <w:pPr>
        <w:pStyle w:val="NormalWeb"/>
        <w:spacing w:line="276" w:lineRule="auto"/>
        <w:rPr>
          <w:rStyle w:val="Strong"/>
          <w:rFonts w:ascii="Arial" w:eastAsiaTheme="majorEastAsia" w:hAnsi="Arial" w:cs="Arial"/>
          <w:sz w:val="20"/>
          <w:szCs w:val="20"/>
        </w:rPr>
      </w:pPr>
      <w:r w:rsidRPr="007F4AB5">
        <w:rPr>
          <w:rStyle w:val="Strong"/>
          <w:rFonts w:ascii="Arial" w:eastAsiaTheme="majorEastAsia" w:hAnsi="Arial" w:cs="Arial"/>
          <w:sz w:val="20"/>
          <w:szCs w:val="20"/>
        </w:rPr>
        <w:t>Baseline performance</w:t>
      </w:r>
    </w:p>
    <w:p w14:paraId="53CCCA7D" w14:textId="77777777" w:rsidR="008B6071" w:rsidRPr="007F4AB5" w:rsidRDefault="008B6071" w:rsidP="008B6071">
      <w:pPr>
        <w:spacing w:line="276" w:lineRule="auto"/>
        <w:rPr>
          <w:rFonts w:ascii="Arial" w:hAnsi="Arial" w:cs="Arial"/>
          <w:sz w:val="20"/>
          <w:szCs w:val="20"/>
        </w:rPr>
      </w:pPr>
      <w:r w:rsidRPr="00E64FF8">
        <w:rPr>
          <w:rFonts w:ascii="Arial" w:hAnsi="Arial" w:cs="Arial"/>
          <w:sz w:val="20"/>
          <w:szCs w:val="20"/>
        </w:rPr>
        <w:t xml:space="preserve">For expenditure regression, an </w:t>
      </w:r>
      <w:proofErr w:type="spellStart"/>
      <w:r w:rsidRPr="00E64FF8">
        <w:rPr>
          <w:rFonts w:ascii="Arial" w:hAnsi="Arial" w:cs="Arial"/>
          <w:b/>
          <w:bCs/>
          <w:sz w:val="20"/>
          <w:szCs w:val="20"/>
        </w:rPr>
        <w:t>ElasticNet</w:t>
      </w:r>
      <w:proofErr w:type="spellEnd"/>
      <w:r w:rsidRPr="00E64FF8">
        <w:rPr>
          <w:rFonts w:ascii="Arial" w:hAnsi="Arial" w:cs="Arial"/>
          <w:sz w:val="20"/>
          <w:szCs w:val="20"/>
        </w:rPr>
        <w:t xml:space="preserve"> model trained on year-1 predictors achieved </w:t>
      </w:r>
      <w:r w:rsidRPr="00E64FF8">
        <w:rPr>
          <w:rFonts w:ascii="Arial" w:eastAsiaTheme="majorEastAsia" w:hAnsi="Arial" w:cs="Arial"/>
          <w:b/>
          <w:bCs/>
          <w:sz w:val="20"/>
          <w:szCs w:val="20"/>
        </w:rPr>
        <w:t>R²=0.51</w:t>
      </w:r>
      <w:r w:rsidRPr="00E64FF8">
        <w:rPr>
          <w:rFonts w:ascii="Arial" w:hAnsi="Arial" w:cs="Arial"/>
          <w:sz w:val="20"/>
          <w:szCs w:val="20"/>
        </w:rPr>
        <w:t xml:space="preserve"> on the validation set and </w:t>
      </w:r>
      <w:r w:rsidRPr="00E64FF8">
        <w:rPr>
          <w:rFonts w:ascii="Arial" w:eastAsiaTheme="majorEastAsia" w:hAnsi="Arial" w:cs="Arial"/>
          <w:b/>
          <w:bCs/>
          <w:sz w:val="20"/>
          <w:szCs w:val="20"/>
        </w:rPr>
        <w:t>R²=0.52</w:t>
      </w:r>
      <w:r w:rsidRPr="00E64FF8">
        <w:rPr>
          <w:rFonts w:ascii="Arial" w:hAnsi="Arial" w:cs="Arial"/>
          <w:sz w:val="20"/>
          <w:szCs w:val="20"/>
        </w:rPr>
        <w:t xml:space="preserve"> on the held-out test set (</w:t>
      </w:r>
      <w:proofErr w:type="spellStart"/>
      <w:r w:rsidRPr="00E64FF8">
        <w:rPr>
          <w:rFonts w:ascii="Arial" w:hAnsi="Arial" w:cs="Arial"/>
          <w:sz w:val="20"/>
          <w:szCs w:val="20"/>
        </w:rPr>
        <w:t>RMSE_log</w:t>
      </w:r>
      <w:proofErr w:type="spellEnd"/>
      <w:r w:rsidRPr="00E64FF8">
        <w:rPr>
          <w:rFonts w:ascii="Arial" w:hAnsi="Arial" w:cs="Arial"/>
          <w:sz w:val="20"/>
          <w:szCs w:val="20"/>
        </w:rPr>
        <w:t xml:space="preserve"> 2.28 vs 2.17). </w:t>
      </w:r>
      <w:r w:rsidRPr="007F4AB5">
        <w:rPr>
          <w:rFonts w:ascii="Arial" w:hAnsi="Arial" w:cs="Arial"/>
          <w:sz w:val="20"/>
          <w:szCs w:val="20"/>
        </w:rPr>
        <w:t xml:space="preserve">We additionally performed hyperparameter tuning for </w:t>
      </w:r>
      <w:proofErr w:type="spellStart"/>
      <w:r w:rsidRPr="007F4AB5">
        <w:rPr>
          <w:rFonts w:ascii="Arial" w:hAnsi="Arial" w:cs="Arial"/>
          <w:sz w:val="20"/>
          <w:szCs w:val="20"/>
        </w:rPr>
        <w:t>ElasticNet</w:t>
      </w:r>
      <w:proofErr w:type="spellEnd"/>
      <w:r w:rsidRPr="007F4AB5">
        <w:rPr>
          <w:rFonts w:ascii="Arial" w:hAnsi="Arial" w:cs="Arial"/>
          <w:sz w:val="20"/>
          <w:szCs w:val="20"/>
        </w:rPr>
        <w:t xml:space="preserve"> (varying the regularization strength and the L1/L2 mixing parameter) using cross-validation on the training set; however, this did not yield improved validation performance compared with the baseline configuration. </w:t>
      </w:r>
      <w:r w:rsidRPr="00E64FF8">
        <w:rPr>
          <w:rFonts w:ascii="Arial" w:hAnsi="Arial" w:cs="Arial"/>
          <w:sz w:val="20"/>
          <w:szCs w:val="20"/>
        </w:rPr>
        <w:t xml:space="preserve">For classification, </w:t>
      </w:r>
      <w:r w:rsidRPr="00E64FF8">
        <w:rPr>
          <w:rFonts w:ascii="Arial" w:hAnsi="Arial" w:cs="Arial"/>
          <w:b/>
          <w:bCs/>
          <w:sz w:val="20"/>
          <w:szCs w:val="20"/>
        </w:rPr>
        <w:t>logistic regression</w:t>
      </w:r>
      <w:r w:rsidRPr="00E64FF8">
        <w:rPr>
          <w:rFonts w:ascii="Arial" w:hAnsi="Arial" w:cs="Arial"/>
          <w:sz w:val="20"/>
          <w:szCs w:val="20"/>
        </w:rPr>
        <w:t xml:space="preserve"> baselines were trained with </w:t>
      </w:r>
      <w:proofErr w:type="spellStart"/>
      <w:r w:rsidRPr="00E64FF8">
        <w:rPr>
          <w:rFonts w:ascii="Arial" w:eastAsiaTheme="majorEastAsia" w:hAnsi="Arial" w:cs="Arial"/>
          <w:b/>
          <w:bCs/>
          <w:sz w:val="20"/>
          <w:szCs w:val="20"/>
        </w:rPr>
        <w:t>class_weight</w:t>
      </w:r>
      <w:proofErr w:type="spellEnd"/>
      <w:r w:rsidRPr="00E64FF8">
        <w:rPr>
          <w:rFonts w:ascii="Arial" w:eastAsiaTheme="majorEastAsia" w:hAnsi="Arial" w:cs="Arial"/>
          <w:b/>
          <w:bCs/>
          <w:sz w:val="20"/>
          <w:szCs w:val="20"/>
        </w:rPr>
        <w:t>="balanced"</w:t>
      </w:r>
      <w:r w:rsidRPr="00E64FF8">
        <w:rPr>
          <w:rFonts w:ascii="Arial" w:hAnsi="Arial" w:cs="Arial"/>
          <w:sz w:val="20"/>
          <w:szCs w:val="20"/>
        </w:rPr>
        <w:t xml:space="preserve"> to mitigate class imbalance (particularly for inpatient events).</w:t>
      </w:r>
      <w:r w:rsidRPr="007F4AB5">
        <w:rPr>
          <w:rFonts w:ascii="Arial" w:hAnsi="Arial" w:cs="Arial"/>
          <w:sz w:val="20"/>
          <w:szCs w:val="20"/>
        </w:rPr>
        <w:t xml:space="preserve"> </w:t>
      </w:r>
      <w:r w:rsidRPr="00E64FF8">
        <w:rPr>
          <w:rFonts w:ascii="Arial" w:hAnsi="Arial" w:cs="Arial"/>
          <w:sz w:val="20"/>
          <w:szCs w:val="20"/>
        </w:rPr>
        <w:t xml:space="preserve">In addition to ROC AUC, we report PR-AUC because it is more informative when the positive class is rare. </w:t>
      </w:r>
      <w:r w:rsidRPr="00E64FF8">
        <w:rPr>
          <w:rFonts w:ascii="Arial" w:hAnsi="Arial" w:cs="Arial"/>
          <w:b/>
          <w:bCs/>
          <w:sz w:val="20"/>
          <w:szCs w:val="20"/>
        </w:rPr>
        <w:t>High-cost prediction</w:t>
      </w:r>
      <w:r w:rsidRPr="00E64FF8">
        <w:rPr>
          <w:rFonts w:ascii="Arial" w:hAnsi="Arial" w:cs="Arial"/>
          <w:sz w:val="20"/>
          <w:szCs w:val="20"/>
        </w:rPr>
        <w:t xml:space="preserve"> performed best, with test </w:t>
      </w:r>
      <w:r w:rsidRPr="00E64FF8">
        <w:rPr>
          <w:rFonts w:ascii="Arial" w:eastAsiaTheme="majorEastAsia" w:hAnsi="Arial" w:cs="Arial"/>
          <w:b/>
          <w:bCs/>
          <w:sz w:val="20"/>
          <w:szCs w:val="20"/>
        </w:rPr>
        <w:t>AUC=0.85</w:t>
      </w:r>
      <w:r w:rsidRPr="00E64FF8">
        <w:rPr>
          <w:rFonts w:ascii="Arial" w:hAnsi="Arial" w:cs="Arial"/>
          <w:sz w:val="20"/>
          <w:szCs w:val="20"/>
        </w:rPr>
        <w:t xml:space="preserve"> and </w:t>
      </w:r>
      <w:r w:rsidRPr="00E64FF8">
        <w:rPr>
          <w:rFonts w:ascii="Arial" w:eastAsiaTheme="majorEastAsia" w:hAnsi="Arial" w:cs="Arial"/>
          <w:b/>
          <w:bCs/>
          <w:sz w:val="20"/>
          <w:szCs w:val="20"/>
        </w:rPr>
        <w:t>PR-AUC=0.42</w:t>
      </w:r>
      <w:r w:rsidRPr="00E64FF8">
        <w:rPr>
          <w:rFonts w:ascii="Arial" w:hAnsi="Arial" w:cs="Arial"/>
          <w:sz w:val="20"/>
          <w:szCs w:val="20"/>
        </w:rPr>
        <w:t xml:space="preserve">. Predicting </w:t>
      </w:r>
      <w:r w:rsidRPr="00E64FF8">
        <w:rPr>
          <w:rFonts w:ascii="Arial" w:eastAsiaTheme="majorEastAsia" w:hAnsi="Arial" w:cs="Arial"/>
          <w:b/>
          <w:bCs/>
          <w:sz w:val="20"/>
          <w:szCs w:val="20"/>
        </w:rPr>
        <w:t>any ED visit</w:t>
      </w:r>
      <w:r w:rsidRPr="00E64FF8">
        <w:rPr>
          <w:rFonts w:ascii="Arial" w:hAnsi="Arial" w:cs="Arial"/>
          <w:sz w:val="20"/>
          <w:szCs w:val="20"/>
        </w:rPr>
        <w:t xml:space="preserve"> achieved moderate discrimination (test AUC=0.71, PR-AUC=0.33). Predicting </w:t>
      </w:r>
      <w:r w:rsidRPr="00E64FF8">
        <w:rPr>
          <w:rFonts w:ascii="Arial" w:eastAsiaTheme="majorEastAsia" w:hAnsi="Arial" w:cs="Arial"/>
          <w:b/>
          <w:bCs/>
          <w:sz w:val="20"/>
          <w:szCs w:val="20"/>
        </w:rPr>
        <w:t>any inpatient stay</w:t>
      </w:r>
      <w:r w:rsidRPr="00E64FF8">
        <w:rPr>
          <w:rFonts w:ascii="Arial" w:hAnsi="Arial" w:cs="Arial"/>
          <w:sz w:val="20"/>
          <w:szCs w:val="20"/>
        </w:rPr>
        <w:t xml:space="preserve"> was the most challenging due to stronger imbalance; while ranking performance remained reasonable (test AUC=0.75), </w:t>
      </w:r>
      <w:proofErr w:type="spellStart"/>
      <w:r w:rsidRPr="00E64FF8">
        <w:rPr>
          <w:rFonts w:ascii="Arial" w:hAnsi="Arial" w:cs="Arial"/>
          <w:sz w:val="20"/>
          <w:szCs w:val="20"/>
        </w:rPr>
        <w:t>thresholded</w:t>
      </w:r>
      <w:proofErr w:type="spellEnd"/>
      <w:r w:rsidRPr="00E64FF8">
        <w:rPr>
          <w:rFonts w:ascii="Arial" w:hAnsi="Arial" w:cs="Arial"/>
          <w:sz w:val="20"/>
          <w:szCs w:val="20"/>
        </w:rPr>
        <w:t xml:space="preserve"> performance was lower (test PR-AUC=0.22, F1=0.28). Decision thresholds were selected on the validation set to </w:t>
      </w:r>
      <w:r w:rsidRPr="007F4AB5">
        <w:rPr>
          <w:rFonts w:ascii="Arial" w:hAnsi="Arial" w:cs="Arial"/>
          <w:sz w:val="20"/>
          <w:szCs w:val="20"/>
        </w:rPr>
        <w:t>maximize</w:t>
      </w:r>
      <w:r w:rsidRPr="00E64FF8">
        <w:rPr>
          <w:rFonts w:ascii="Arial" w:hAnsi="Arial" w:cs="Arial"/>
          <w:sz w:val="20"/>
          <w:szCs w:val="20"/>
        </w:rPr>
        <w:t xml:space="preserve"> F1 and then applied unchanged to the test set.</w:t>
      </w:r>
    </w:p>
    <w:p w14:paraId="7280FF90" w14:textId="77777777" w:rsidR="008B6071" w:rsidRDefault="008B6071" w:rsidP="008B6071">
      <w:pPr>
        <w:spacing w:line="276" w:lineRule="auto"/>
        <w:rPr>
          <w:rFonts w:ascii="Arial" w:hAnsi="Arial" w:cs="Arial"/>
          <w:sz w:val="20"/>
          <w:szCs w:val="20"/>
        </w:rPr>
      </w:pPr>
      <w:r w:rsidRPr="007F4AB5">
        <w:rPr>
          <w:rFonts w:ascii="Arial" w:hAnsi="Arial" w:cs="Arial"/>
          <w:sz w:val="20"/>
          <w:szCs w:val="20"/>
        </w:rPr>
        <w:t>Classification tasks (high-cost, ED visit, inpatient stay) showed stronger discrimination than continuous expenditure regression. This is expected because annual expenditures are heavy-tailed and highly heterogeneous at the individual level, while event-based targets capture a coarser but more stable risk signal. Therefore, the thesis emphasizes risk stratification performance for classification tasks and uses non-linear models to improve regression performance.</w:t>
      </w:r>
    </w:p>
    <w:p w14:paraId="0784D811" w14:textId="77777777" w:rsidR="008B6071" w:rsidRDefault="008B6071" w:rsidP="00D20B01">
      <w:pPr>
        <w:spacing w:before="100" w:beforeAutospacing="1" w:after="100" w:afterAutospacing="1" w:line="276" w:lineRule="auto"/>
        <w:rPr>
          <w:rFonts w:ascii="Arial" w:hAnsi="Arial" w:cs="Arial"/>
          <w:sz w:val="20"/>
          <w:szCs w:val="20"/>
        </w:rPr>
      </w:pPr>
    </w:p>
    <w:p w14:paraId="3B6A5152" w14:textId="77777777" w:rsidR="008B6071" w:rsidRDefault="008B6071" w:rsidP="00D20B01">
      <w:pPr>
        <w:spacing w:before="100" w:beforeAutospacing="1" w:after="100" w:afterAutospacing="1" w:line="276" w:lineRule="auto"/>
        <w:rPr>
          <w:rFonts w:ascii="Arial" w:hAnsi="Arial" w:cs="Arial"/>
          <w:sz w:val="20"/>
          <w:szCs w:val="20"/>
        </w:rPr>
      </w:pPr>
    </w:p>
    <w:p w14:paraId="4182E4E0" w14:textId="77777777" w:rsidR="008B6071" w:rsidRPr="007F4AB5" w:rsidRDefault="008B6071" w:rsidP="00D20B01">
      <w:pPr>
        <w:spacing w:before="100" w:beforeAutospacing="1" w:after="100" w:afterAutospacing="1" w:line="276" w:lineRule="auto"/>
        <w:rPr>
          <w:rFonts w:ascii="Arial" w:hAnsi="Arial" w:cs="Arial"/>
          <w:sz w:val="20"/>
          <w:szCs w:val="20"/>
        </w:rPr>
      </w:pPr>
    </w:p>
    <w:p w14:paraId="38630B3A" w14:textId="77777777" w:rsidR="00AF0955" w:rsidRPr="00177842" w:rsidRDefault="00AF0955" w:rsidP="00AF0955">
      <w:pPr>
        <w:spacing w:before="240" w:line="276" w:lineRule="auto"/>
        <w:rPr>
          <w:rFonts w:ascii="Arial" w:hAnsi="Arial" w:cs="Arial"/>
          <w:b/>
          <w:bCs/>
          <w:sz w:val="20"/>
          <w:szCs w:val="20"/>
          <w:highlight w:val="yellow"/>
        </w:rPr>
      </w:pPr>
      <w:r w:rsidRPr="00177842">
        <w:rPr>
          <w:rFonts w:ascii="Arial" w:hAnsi="Arial" w:cs="Arial"/>
          <w:b/>
          <w:bCs/>
          <w:sz w:val="20"/>
          <w:szCs w:val="20"/>
          <w:highlight w:val="yellow"/>
        </w:rPr>
        <w:t>6.</w:t>
      </w:r>
      <w:r w:rsidRPr="007F4AB5">
        <w:rPr>
          <w:rFonts w:ascii="Arial" w:hAnsi="Arial" w:cs="Arial"/>
          <w:b/>
          <w:bCs/>
          <w:sz w:val="20"/>
          <w:szCs w:val="20"/>
          <w:highlight w:val="yellow"/>
        </w:rPr>
        <w:t>4</w:t>
      </w:r>
      <w:r w:rsidRPr="00177842">
        <w:rPr>
          <w:rFonts w:ascii="Arial" w:hAnsi="Arial" w:cs="Arial"/>
          <w:b/>
          <w:bCs/>
          <w:sz w:val="20"/>
          <w:szCs w:val="20"/>
          <w:highlight w:val="yellow"/>
        </w:rPr>
        <w:t>.6 Summary and interpretation of predictive performance</w:t>
      </w:r>
    </w:p>
    <w:p w14:paraId="4AB28C28" w14:textId="77777777" w:rsidR="00AF0955" w:rsidRPr="007F4AB5" w:rsidRDefault="00AF0955" w:rsidP="00AF0955">
      <w:pPr>
        <w:spacing w:before="240" w:line="276" w:lineRule="auto"/>
        <w:rPr>
          <w:rFonts w:ascii="Arial" w:hAnsi="Arial" w:cs="Arial"/>
          <w:sz w:val="20"/>
          <w:szCs w:val="20"/>
          <w:highlight w:val="yellow"/>
        </w:rPr>
      </w:pPr>
      <w:r w:rsidRPr="00177842">
        <w:rPr>
          <w:rFonts w:ascii="Arial" w:hAnsi="Arial" w:cs="Arial"/>
          <w:sz w:val="20"/>
          <w:szCs w:val="20"/>
          <w:highlight w:val="yellow"/>
        </w:rPr>
        <w:lastRenderedPageBreak/>
        <w:t>Overall, model performance varies by target and is strongest where outcomes exhibit temporal persistence.</w:t>
      </w:r>
      <w:r w:rsidRPr="007F4AB5">
        <w:rPr>
          <w:rFonts w:ascii="Arial" w:hAnsi="Arial" w:cs="Arial"/>
          <w:sz w:val="20"/>
          <w:szCs w:val="20"/>
          <w:highlight w:val="yellow"/>
        </w:rPr>
        <w:t xml:space="preserve"> For the </w:t>
      </w:r>
      <w:r w:rsidRPr="007F4AB5">
        <w:rPr>
          <w:rFonts w:ascii="Arial" w:hAnsi="Arial" w:cs="Arial"/>
          <w:b/>
          <w:bCs/>
          <w:sz w:val="20"/>
          <w:szCs w:val="20"/>
          <w:highlight w:val="yellow"/>
        </w:rPr>
        <w:t>expenditure regression task (LOG_TOTEXPY2)</w:t>
      </w:r>
      <w:r w:rsidRPr="007F4AB5">
        <w:rPr>
          <w:rFonts w:ascii="Arial" w:hAnsi="Arial" w:cs="Arial"/>
          <w:sz w:val="20"/>
          <w:szCs w:val="20"/>
          <w:highlight w:val="yellow"/>
        </w:rPr>
        <w:t xml:space="preserve">, non-linear models achieved </w:t>
      </w:r>
      <w:r w:rsidRPr="007F4AB5">
        <w:rPr>
          <w:rFonts w:ascii="Arial" w:hAnsi="Arial" w:cs="Arial"/>
          <w:b/>
          <w:bCs/>
          <w:sz w:val="20"/>
          <w:szCs w:val="20"/>
          <w:highlight w:val="yellow"/>
        </w:rPr>
        <w:t>similar and stable</w:t>
      </w:r>
      <w:r w:rsidRPr="007F4AB5">
        <w:rPr>
          <w:rFonts w:ascii="Arial" w:hAnsi="Arial" w:cs="Arial"/>
          <w:sz w:val="20"/>
          <w:szCs w:val="20"/>
          <w:highlight w:val="yellow"/>
        </w:rPr>
        <w:t xml:space="preserve"> predictive accuracy on the test set, with </w:t>
      </w:r>
      <w:r w:rsidRPr="007F4AB5">
        <w:rPr>
          <w:rFonts w:ascii="Arial" w:hAnsi="Arial" w:cs="Arial"/>
          <w:b/>
          <w:bCs/>
          <w:sz w:val="20"/>
          <w:szCs w:val="20"/>
          <w:highlight w:val="yellow"/>
        </w:rPr>
        <w:t>R² around 0.53</w:t>
      </w:r>
      <w:r w:rsidRPr="007F4AB5">
        <w:rPr>
          <w:rFonts w:ascii="Arial" w:hAnsi="Arial" w:cs="Arial"/>
          <w:sz w:val="20"/>
          <w:szCs w:val="20"/>
          <w:highlight w:val="yellow"/>
        </w:rPr>
        <w:t xml:space="preserve"> and </w:t>
      </w:r>
      <w:proofErr w:type="spellStart"/>
      <w:r w:rsidRPr="007F4AB5">
        <w:rPr>
          <w:rFonts w:ascii="Arial" w:hAnsi="Arial" w:cs="Arial"/>
          <w:b/>
          <w:bCs/>
          <w:sz w:val="20"/>
          <w:szCs w:val="20"/>
          <w:highlight w:val="yellow"/>
        </w:rPr>
        <w:t>RMSE_log</w:t>
      </w:r>
      <w:proofErr w:type="spellEnd"/>
      <w:r w:rsidRPr="007F4AB5">
        <w:rPr>
          <w:rFonts w:ascii="Arial" w:hAnsi="Arial" w:cs="Arial"/>
          <w:b/>
          <w:bCs/>
          <w:sz w:val="20"/>
          <w:szCs w:val="20"/>
          <w:highlight w:val="yellow"/>
        </w:rPr>
        <w:t xml:space="preserve"> around 2.15</w:t>
      </w:r>
      <w:r w:rsidRPr="007F4AB5">
        <w:rPr>
          <w:rFonts w:ascii="Arial" w:hAnsi="Arial" w:cs="Arial"/>
          <w:sz w:val="20"/>
          <w:szCs w:val="20"/>
          <w:highlight w:val="yellow"/>
        </w:rPr>
        <w:t xml:space="preserve">, indicating that Year-1 features explain a meaningful—but incomplete—share of variation in Year-2 log expenditures. Performance differences between RF/XGB/MLP were small, suggesting diminishing returns from model complexity after applying the log transformation to expenditures. </w:t>
      </w:r>
      <w:r w:rsidRPr="00177842">
        <w:rPr>
          <w:rFonts w:ascii="Arial" w:hAnsi="Arial" w:cs="Arial"/>
          <w:sz w:val="20"/>
          <w:szCs w:val="20"/>
          <w:highlight w:val="yellow"/>
        </w:rPr>
        <w:t xml:space="preserve">For </w:t>
      </w:r>
      <w:r w:rsidRPr="00177842">
        <w:rPr>
          <w:rFonts w:ascii="Arial" w:hAnsi="Arial" w:cs="Arial"/>
          <w:b/>
          <w:bCs/>
          <w:sz w:val="20"/>
          <w:szCs w:val="20"/>
          <w:highlight w:val="yellow"/>
        </w:rPr>
        <w:t>HIGHCOST_Y2</w:t>
      </w:r>
      <w:r w:rsidRPr="00177842">
        <w:rPr>
          <w:rFonts w:ascii="Arial" w:hAnsi="Arial" w:cs="Arial"/>
          <w:sz w:val="20"/>
          <w:szCs w:val="20"/>
          <w:highlight w:val="yellow"/>
        </w:rPr>
        <w:t xml:space="preserve">, discrimination is strong (e.g., RF achieves high ROC-AUC and PR-AUC), reflecting that high-cost status is closely linked to prior utilization and chronic burden. For </w:t>
      </w:r>
      <w:r w:rsidRPr="00177842">
        <w:rPr>
          <w:rFonts w:ascii="Arial" w:hAnsi="Arial" w:cs="Arial"/>
          <w:b/>
          <w:bCs/>
          <w:sz w:val="20"/>
          <w:szCs w:val="20"/>
          <w:highlight w:val="yellow"/>
        </w:rPr>
        <w:t>ANY_ED_Y2</w:t>
      </w:r>
      <w:r w:rsidRPr="00177842">
        <w:rPr>
          <w:rFonts w:ascii="Arial" w:hAnsi="Arial" w:cs="Arial"/>
          <w:sz w:val="20"/>
          <w:szCs w:val="20"/>
          <w:highlight w:val="yellow"/>
        </w:rPr>
        <w:t xml:space="preserve"> and </w:t>
      </w:r>
      <w:r w:rsidRPr="00177842">
        <w:rPr>
          <w:rFonts w:ascii="Arial" w:hAnsi="Arial" w:cs="Arial"/>
          <w:b/>
          <w:bCs/>
          <w:sz w:val="20"/>
          <w:szCs w:val="20"/>
          <w:highlight w:val="yellow"/>
        </w:rPr>
        <w:t>ANY_IP_Y2</w:t>
      </w:r>
      <w:r w:rsidRPr="00177842">
        <w:rPr>
          <w:rFonts w:ascii="Arial" w:hAnsi="Arial" w:cs="Arial"/>
          <w:sz w:val="20"/>
          <w:szCs w:val="20"/>
          <w:highlight w:val="yellow"/>
        </w:rPr>
        <w:t xml:space="preserve">, performance is more moderate, which is expected given that acute care events are influenced by short-term shocks and contextual factors that are not fully captured in Year-1 survey variables. Importantly, even when threshold-based metrics (e.g., F1) are not “high,” the models still provide </w:t>
      </w:r>
      <w:r w:rsidRPr="00177842">
        <w:rPr>
          <w:rFonts w:ascii="Arial" w:hAnsi="Arial" w:cs="Arial"/>
          <w:b/>
          <w:bCs/>
          <w:sz w:val="20"/>
          <w:szCs w:val="20"/>
          <w:highlight w:val="yellow"/>
        </w:rPr>
        <w:t>solid risk ranking</w:t>
      </w:r>
      <w:r w:rsidRPr="00177842">
        <w:rPr>
          <w:rFonts w:ascii="Arial" w:hAnsi="Arial" w:cs="Arial"/>
          <w:sz w:val="20"/>
          <w:szCs w:val="20"/>
          <w:highlight w:val="yellow"/>
        </w:rPr>
        <w:t xml:space="preserve"> (AUC/PR-AUC above prevalence baselines) and enable </w:t>
      </w:r>
      <w:r w:rsidRPr="00177842">
        <w:rPr>
          <w:rFonts w:ascii="Arial" w:hAnsi="Arial" w:cs="Arial"/>
          <w:b/>
          <w:bCs/>
          <w:sz w:val="20"/>
          <w:szCs w:val="20"/>
          <w:highlight w:val="yellow"/>
        </w:rPr>
        <w:t>actionable stratification</w:t>
      </w:r>
      <w:r w:rsidRPr="00177842">
        <w:rPr>
          <w:rFonts w:ascii="Arial" w:hAnsi="Arial" w:cs="Arial"/>
          <w:sz w:val="20"/>
          <w:szCs w:val="20"/>
          <w:highlight w:val="yellow"/>
        </w:rPr>
        <w:t xml:space="preserve"> under resource constraints (e.g., top-k selection). </w:t>
      </w:r>
    </w:p>
    <w:p w14:paraId="3EB7BD70" w14:textId="77777777" w:rsidR="00AF0955" w:rsidRDefault="00AF0955" w:rsidP="00AF0955">
      <w:pPr>
        <w:spacing w:before="240" w:line="276" w:lineRule="auto"/>
        <w:rPr>
          <w:rFonts w:ascii="Arial" w:hAnsi="Arial" w:cs="Arial"/>
          <w:sz w:val="20"/>
          <w:szCs w:val="20"/>
          <w:highlight w:val="yellow"/>
        </w:rPr>
      </w:pPr>
      <w:r w:rsidRPr="00177842">
        <w:rPr>
          <w:rFonts w:ascii="Arial" w:hAnsi="Arial" w:cs="Arial"/>
          <w:sz w:val="20"/>
          <w:szCs w:val="20"/>
          <w:highlight w:val="yellow"/>
        </w:rPr>
        <w:t xml:space="preserve">Therefore, the models are best interpreted as tools for </w:t>
      </w:r>
      <w:r w:rsidRPr="00177842">
        <w:rPr>
          <w:rFonts w:ascii="Arial" w:hAnsi="Arial" w:cs="Arial"/>
          <w:b/>
          <w:bCs/>
          <w:sz w:val="20"/>
          <w:szCs w:val="20"/>
          <w:highlight w:val="yellow"/>
        </w:rPr>
        <w:t>risk prioritization</w:t>
      </w:r>
      <w:r w:rsidRPr="00177842">
        <w:rPr>
          <w:rFonts w:ascii="Arial" w:hAnsi="Arial" w:cs="Arial"/>
          <w:sz w:val="20"/>
          <w:szCs w:val="20"/>
          <w:highlight w:val="yellow"/>
        </w:rPr>
        <w:t xml:space="preserve"> rather than deterministic prediction of individual events.</w:t>
      </w:r>
    </w:p>
    <w:p w14:paraId="0E3A7A92" w14:textId="77777777" w:rsidR="00BE7B18" w:rsidRDefault="00BE7B18"/>
    <w:sectPr w:rsidR="00BE7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F5424"/>
    <w:multiLevelType w:val="multilevel"/>
    <w:tmpl w:val="743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6521"/>
    <w:multiLevelType w:val="multilevel"/>
    <w:tmpl w:val="E63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A13B5"/>
    <w:multiLevelType w:val="multilevel"/>
    <w:tmpl w:val="96E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F0EC9"/>
    <w:multiLevelType w:val="multilevel"/>
    <w:tmpl w:val="ADE0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849171">
    <w:abstractNumId w:val="3"/>
  </w:num>
  <w:num w:numId="2" w16cid:durableId="445084633">
    <w:abstractNumId w:val="1"/>
  </w:num>
  <w:num w:numId="3" w16cid:durableId="946159323">
    <w:abstractNumId w:val="0"/>
  </w:num>
  <w:num w:numId="4" w16cid:durableId="1911577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01"/>
    <w:rsid w:val="002F7395"/>
    <w:rsid w:val="00336D7D"/>
    <w:rsid w:val="00884976"/>
    <w:rsid w:val="008B6071"/>
    <w:rsid w:val="00A2201A"/>
    <w:rsid w:val="00AF0955"/>
    <w:rsid w:val="00BE7B18"/>
    <w:rsid w:val="00D20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2B2F"/>
  <w15:chartTrackingRefBased/>
  <w15:docId w15:val="{D3A53181-5048-7D4B-8CF2-9247098F6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0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01"/>
    <w:rPr>
      <w:rFonts w:eastAsiaTheme="majorEastAsia" w:cstheme="majorBidi"/>
      <w:color w:val="272727" w:themeColor="text1" w:themeTint="D8"/>
    </w:rPr>
  </w:style>
  <w:style w:type="paragraph" w:styleId="Title">
    <w:name w:val="Title"/>
    <w:basedOn w:val="Normal"/>
    <w:next w:val="Normal"/>
    <w:link w:val="TitleChar"/>
    <w:uiPriority w:val="10"/>
    <w:qFormat/>
    <w:rsid w:val="00D20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01"/>
    <w:pPr>
      <w:spacing w:before="160"/>
      <w:jc w:val="center"/>
    </w:pPr>
    <w:rPr>
      <w:i/>
      <w:iCs/>
      <w:color w:val="404040" w:themeColor="text1" w:themeTint="BF"/>
    </w:rPr>
  </w:style>
  <w:style w:type="character" w:customStyle="1" w:styleId="QuoteChar">
    <w:name w:val="Quote Char"/>
    <w:basedOn w:val="DefaultParagraphFont"/>
    <w:link w:val="Quote"/>
    <w:uiPriority w:val="29"/>
    <w:rsid w:val="00D20B01"/>
    <w:rPr>
      <w:i/>
      <w:iCs/>
      <w:color w:val="404040" w:themeColor="text1" w:themeTint="BF"/>
    </w:rPr>
  </w:style>
  <w:style w:type="paragraph" w:styleId="ListParagraph">
    <w:name w:val="List Paragraph"/>
    <w:basedOn w:val="Normal"/>
    <w:uiPriority w:val="34"/>
    <w:qFormat/>
    <w:rsid w:val="00D20B01"/>
    <w:pPr>
      <w:ind w:left="720"/>
      <w:contextualSpacing/>
    </w:pPr>
  </w:style>
  <w:style w:type="character" w:styleId="IntenseEmphasis">
    <w:name w:val="Intense Emphasis"/>
    <w:basedOn w:val="DefaultParagraphFont"/>
    <w:uiPriority w:val="21"/>
    <w:qFormat/>
    <w:rsid w:val="00D20B01"/>
    <w:rPr>
      <w:i/>
      <w:iCs/>
      <w:color w:val="0F4761" w:themeColor="accent1" w:themeShade="BF"/>
    </w:rPr>
  </w:style>
  <w:style w:type="paragraph" w:styleId="IntenseQuote">
    <w:name w:val="Intense Quote"/>
    <w:basedOn w:val="Normal"/>
    <w:next w:val="Normal"/>
    <w:link w:val="IntenseQuoteChar"/>
    <w:uiPriority w:val="30"/>
    <w:qFormat/>
    <w:rsid w:val="00D2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B01"/>
    <w:rPr>
      <w:i/>
      <w:iCs/>
      <w:color w:val="0F4761" w:themeColor="accent1" w:themeShade="BF"/>
    </w:rPr>
  </w:style>
  <w:style w:type="character" w:styleId="IntenseReference">
    <w:name w:val="Intense Reference"/>
    <w:basedOn w:val="DefaultParagraphFont"/>
    <w:uiPriority w:val="32"/>
    <w:qFormat/>
    <w:rsid w:val="00D20B01"/>
    <w:rPr>
      <w:b/>
      <w:bCs/>
      <w:smallCaps/>
      <w:color w:val="0F4761" w:themeColor="accent1" w:themeShade="BF"/>
      <w:spacing w:val="5"/>
    </w:rPr>
  </w:style>
  <w:style w:type="paragraph" w:styleId="NormalWeb">
    <w:name w:val="Normal (Web)"/>
    <w:basedOn w:val="Normal"/>
    <w:uiPriority w:val="99"/>
    <w:semiHidden/>
    <w:unhideWhenUsed/>
    <w:rsid w:val="008B6071"/>
    <w:pPr>
      <w:spacing w:before="100" w:beforeAutospacing="1" w:after="100" w:afterAutospacing="1"/>
    </w:pPr>
  </w:style>
  <w:style w:type="character" w:styleId="Strong">
    <w:name w:val="Strong"/>
    <w:basedOn w:val="DefaultParagraphFont"/>
    <w:uiPriority w:val="22"/>
    <w:qFormat/>
    <w:rsid w:val="008B60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2604</Words>
  <Characters>14849</Characters>
  <Application>Microsoft Office Word</Application>
  <DocSecurity>0</DocSecurity>
  <Lines>123</Lines>
  <Paragraphs>34</Paragraphs>
  <ScaleCrop>false</ScaleCrop>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2026-01-21T23:26:00Z</dcterms:created>
  <dcterms:modified xsi:type="dcterms:W3CDTF">2026-01-22T00:32:00Z</dcterms:modified>
</cp:coreProperties>
</file>