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Pilot Program Review Memo - A3</w:t>
      </w:r>
    </w:p>
    <w:p>
      <w:pPr>
        <w:jc w:val="center"/>
      </w:pPr>
      <w:r>
        <w:rPr>
          <w:color w:val="555555"/>
          <w:sz w:val="20"/>
        </w:rPr>
        <w:t>Document automation workflow pilot | Executive memo</w:t>
      </w:r>
    </w:p>
    <w:p>
      <w:pPr>
        <w:pStyle w:val="Heading1"/>
      </w:pPr>
      <w:r>
        <w:t>Executive Summary</w:t>
      </w:r>
    </w:p>
    <w:p>
      <w:r>
        <w:t>The document automation pilot delivered measurable gains across speed, quality, reviewer experience, and throughput. The strongest result was turnaround time, which moved from five days to two days. Formatting rework also dropped materially after template standardization. The recommended next step is to continue the pilot for one more quarter while tightening review ownership and source data quality controls.</w:t>
      </w:r>
    </w:p>
    <w:p>
      <w:pPr>
        <w:pStyle w:val="Heading1"/>
      </w:pPr>
      <w:r>
        <w:t>Main Points</w:t>
      </w:r>
    </w:p>
    <w:p>
      <w:pPr>
        <w:pStyle w:val="ListBullet"/>
      </w:pPr>
      <w:r>
        <w:t>Document turnaround time improved from five days to two days, a 60% reduction.</w:t>
      </w:r>
    </w:p>
    <w:p>
      <w:pPr>
        <w:pStyle w:val="ListBullet"/>
      </w:pPr>
      <w:r>
        <w:t>Formatting rework fell from 14 instances to 4, reducing review friction by 71%.</w:t>
      </w:r>
    </w:p>
    <w:p>
      <w:pPr>
        <w:pStyle w:val="ListBullet"/>
      </w:pPr>
      <w:r>
        <w:t>Reviewer satisfaction increased from 3.4 to 4.5, a 32% lift.</w:t>
      </w:r>
    </w:p>
    <w:p>
      <w:pPr>
        <w:pStyle w:val="ListBullet"/>
      </w:pPr>
      <w:r>
        <w:t>Processed volume increased from 18 to 42 documents, more than doubling throughput.</w:t>
      </w:r>
    </w:p>
    <w:p>
      <w:pPr>
        <w:pStyle w:val="ListBullet"/>
      </w:pPr>
      <w:r>
        <w:t>Operational risks remain around source data quality and final review ownership.</w:t>
      </w:r>
    </w:p>
    <w:p>
      <w:pPr>
        <w:pStyle w:val="Heading1"/>
      </w:pPr>
      <w:r>
        <w:t>Pilot Metrics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0066FF"/>
          </w:tcPr>
          <w:p>
            <w:r>
              <w:rPr>
                <w:b/>
                <w:color w:val="FFFFFF"/>
              </w:rPr>
              <w:t>Metric</w:t>
            </w:r>
          </w:p>
        </w:tc>
        <w:tc>
          <w:tcPr>
            <w:tcW w:type="dxa" w:w="1958"/>
            <w:vAlign w:val="center"/>
            <w:shd w:fill="0066FF"/>
          </w:tcPr>
          <w:p>
            <w:r>
              <w:rPr>
                <w:b/>
                <w:color w:val="FFFFFF"/>
              </w:rPr>
              <w:t>Baseline</w:t>
            </w:r>
          </w:p>
        </w:tc>
        <w:tc>
          <w:tcPr>
            <w:tcW w:type="dxa" w:w="1958"/>
            <w:vAlign w:val="center"/>
            <w:shd w:fill="0066FF"/>
          </w:tcPr>
          <w:p>
            <w:r>
              <w:rPr>
                <w:b/>
                <w:color w:val="FFFFFF"/>
              </w:rPr>
              <w:t>Pilot</w:t>
            </w:r>
          </w:p>
        </w:tc>
        <w:tc>
          <w:tcPr>
            <w:tcW w:type="dxa" w:w="1958"/>
            <w:vAlign w:val="center"/>
            <w:shd w:fill="0066FF"/>
          </w:tcPr>
          <w:p>
            <w:r>
              <w:rPr>
                <w:b/>
                <w:color w:val="FFFFFF"/>
              </w:rPr>
              <w:t>Unit</w:t>
            </w:r>
          </w:p>
        </w:tc>
        <w:tc>
          <w:tcPr>
            <w:tcW w:type="dxa" w:w="1958"/>
            <w:vAlign w:val="center"/>
            <w:shd w:fill="0066FF"/>
          </w:tcPr>
          <w:p>
            <w:r>
              <w:rPr>
                <w:b/>
                <w:color w:val="FFFFFF"/>
              </w:rPr>
              <w:t>Change</w:t>
            </w:r>
          </w:p>
        </w:tc>
      </w:tr>
      <w:tr>
        <w:tc>
          <w:tcPr>
            <w:tcW w:type="dxa" w:w="1958"/>
          </w:tcPr>
          <w:p>
            <w:r>
              <w:t>Turnaround Time</w:t>
            </w:r>
          </w:p>
        </w:tc>
        <w:tc>
          <w:tcPr>
            <w:tcW w:type="dxa" w:w="1958"/>
          </w:tcPr>
          <w:p>
            <w:r>
              <w:t>5</w:t>
            </w:r>
          </w:p>
        </w:tc>
        <w:tc>
          <w:tcPr>
            <w:tcW w:type="dxa" w:w="1958"/>
          </w:tcPr>
          <w:p>
            <w:r>
              <w:t>2</w:t>
            </w:r>
          </w:p>
        </w:tc>
        <w:tc>
          <w:tcPr>
            <w:tcW w:type="dxa" w:w="1958"/>
          </w:tcPr>
          <w:p>
            <w:r>
              <w:t>days</w:t>
            </w:r>
          </w:p>
        </w:tc>
        <w:tc>
          <w:tcPr>
            <w:tcW w:type="dxa" w:w="1958"/>
          </w:tcPr>
          <w:p>
            <w:r>
              <w:t>-60.0%</w:t>
            </w:r>
          </w:p>
        </w:tc>
      </w:tr>
      <w:tr>
        <w:tc>
          <w:tcPr>
            <w:tcW w:type="dxa" w:w="1958"/>
          </w:tcPr>
          <w:p>
            <w:r>
              <w:t>Formatting Rework</w:t>
            </w:r>
          </w:p>
        </w:tc>
        <w:tc>
          <w:tcPr>
            <w:tcW w:type="dxa" w:w="1958"/>
          </w:tcPr>
          <w:p>
            <w:r>
              <w:t>14</w:t>
            </w:r>
          </w:p>
        </w:tc>
        <w:tc>
          <w:tcPr>
            <w:tcW w:type="dxa" w:w="1958"/>
          </w:tcPr>
          <w:p>
            <w:r>
              <w:t>4</w:t>
            </w:r>
          </w:p>
        </w:tc>
        <w:tc>
          <w:tcPr>
            <w:tcW w:type="dxa" w:w="1958"/>
          </w:tcPr>
          <w:p>
            <w:r>
              <w:t>count</w:t>
            </w:r>
          </w:p>
        </w:tc>
        <w:tc>
          <w:tcPr>
            <w:tcW w:type="dxa" w:w="1958"/>
          </w:tcPr>
          <w:p>
            <w:r>
              <w:t>-71.4%</w:t>
            </w:r>
          </w:p>
        </w:tc>
      </w:tr>
      <w:tr>
        <w:tc>
          <w:tcPr>
            <w:tcW w:type="dxa" w:w="1958"/>
          </w:tcPr>
          <w:p>
            <w:r>
              <w:t>Reviewer Satisfaction</w:t>
            </w:r>
          </w:p>
        </w:tc>
        <w:tc>
          <w:tcPr>
            <w:tcW w:type="dxa" w:w="1958"/>
          </w:tcPr>
          <w:p>
            <w:r>
              <w:t>3.4</w:t>
            </w:r>
          </w:p>
        </w:tc>
        <w:tc>
          <w:tcPr>
            <w:tcW w:type="dxa" w:w="1958"/>
          </w:tcPr>
          <w:p>
            <w:r>
              <w:t>4.5</w:t>
            </w:r>
          </w:p>
        </w:tc>
        <w:tc>
          <w:tcPr>
            <w:tcW w:type="dxa" w:w="1958"/>
          </w:tcPr>
          <w:p>
            <w:r>
              <w:t>score</w:t>
            </w:r>
          </w:p>
        </w:tc>
        <w:tc>
          <w:tcPr>
            <w:tcW w:type="dxa" w:w="1958"/>
          </w:tcPr>
          <w:p>
            <w:r>
              <w:t>+32.4%</w:t>
            </w:r>
          </w:p>
        </w:tc>
      </w:tr>
      <w:tr>
        <w:tc>
          <w:tcPr>
            <w:tcW w:type="dxa" w:w="1958"/>
          </w:tcPr>
          <w:p>
            <w:r>
              <w:t>Documents Processed</w:t>
            </w:r>
          </w:p>
        </w:tc>
        <w:tc>
          <w:tcPr>
            <w:tcW w:type="dxa" w:w="1958"/>
          </w:tcPr>
          <w:p>
            <w:r>
              <w:t>18</w:t>
            </w:r>
          </w:p>
        </w:tc>
        <w:tc>
          <w:tcPr>
            <w:tcW w:type="dxa" w:w="1958"/>
          </w:tcPr>
          <w:p>
            <w:r>
              <w:t>42</w:t>
            </w:r>
          </w:p>
        </w:tc>
        <w:tc>
          <w:tcPr>
            <w:tcW w:type="dxa" w:w="1958"/>
          </w:tcPr>
          <w:p>
            <w:r>
              <w:t>count</w:t>
            </w:r>
          </w:p>
        </w:tc>
        <w:tc>
          <w:tcPr>
            <w:tcW w:type="dxa" w:w="1958"/>
          </w:tcPr>
          <w:p>
            <w:r>
              <w:t>+133.3%</w:t>
            </w:r>
          </w:p>
        </w:tc>
      </w:tr>
    </w:tbl>
    <w:p>
      <w:pPr>
        <w:pStyle w:val="Heading1"/>
      </w:pPr>
      <w:r>
        <w:t>Recommendation</w:t>
      </w:r>
    </w:p>
    <w:p>
      <w:pPr>
        <w:pStyle w:val="ListNumber"/>
      </w:pPr>
      <w:r>
        <w:t>Continue the pilot for one more quarter.</w:t>
      </w:r>
    </w:p>
    <w:p>
      <w:pPr>
        <w:pStyle w:val="ListNumber"/>
      </w:pPr>
      <w:r>
        <w:t>Add a reviewer checklist to clarify final review responsibilities.</w:t>
      </w:r>
    </w:p>
    <w:p>
      <w:pPr>
        <w:pStyle w:val="ListNumber"/>
      </w:pPr>
      <w:r>
        <w:t>Publish a shared theme package to preserve formatting consistency.</w:t>
      </w:r>
    </w:p>
    <w:p>
      <w:pPr>
        <w:pStyle w:val="ListNumber"/>
      </w:pPr>
      <w:r>
        <w:t>Track data quality exceptions alongside throughput and satisfaction metrics.</w:t>
      </w:r>
    </w:p>
    <w:p>
      <w:r>
        <w:t>Source artifacts: source_memo.md and pilot_metrics.csv from the A3 local benchmark fixture.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6F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1E1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