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Automation Pilot Review</w:t>
      </w:r>
    </w:p>
    <w:p>
      <w:r>
        <w:t>Structured executive memo based on A4 source memo and pilot metrics.</w:t>
      </w:r>
    </w:p>
    <w:p>
      <w:pPr>
        <w:pStyle w:val="Heading1"/>
      </w:pPr>
      <w:r>
        <w:t>Executive Summary</w:t>
      </w:r>
    </w:p>
    <w:p>
      <w:pPr>
        <w:pStyle w:val="ListParagraph"/>
      </w:pPr>
      <w:r>
        <w:t>The document automation pilot reduced turnaround time from five days to two days while increasing throughput from 18 to 42 documents.</w:t>
      </w:r>
    </w:p>
    <w:p>
      <w:pPr>
        <w:pStyle w:val="ListParagraph"/>
      </w:pPr>
      <w:r>
        <w:t>Template standardization lowered formatting rework from 14 items to 4, and reviewer satisfaction improved from 3.4 to 4.5.</w:t>
      </w:r>
    </w:p>
    <w:p>
      <w:pPr>
        <w:pStyle w:val="ListParagraph"/>
      </w:pPr>
      <w:r>
        <w:t>Continue the pilot for one more quarter, add a reviewer checklist, and publish a shared theme package.</w:t>
      </w:r>
    </w:p>
    <w:p>
      <w:pPr>
        <w:pStyle w:val="Heading1"/>
      </w:pPr>
      <w:r>
        <w:t>Pilot Metrics</w:t>
      </w:r>
    </w:p>
    <w:tbl>
      <w:tblPr>
        <w:tblW w:w="936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r>
        <w:tc>
          <w:tcPr>
            <w:tcW w:w="2600" w:type="dxa"/>
            <w:shd w:fill="0066FF"/>
          </w:tcPr>
          <w:p>
            <w:r>
              <w:rPr>
                <w:b/>
              </w:rPr>
              <w:t>Metric</w:t>
            </w:r>
          </w:p>
        </w:tc>
        <w:tc>
          <w:tcPr>
            <w:tcW w:w="1700" w:type="dxa"/>
            <w:shd w:fill="0066FF"/>
          </w:tcPr>
          <w:p>
            <w:r>
              <w:rPr>
                <w:b/>
              </w:rPr>
              <w:t>Baseline</w:t>
            </w:r>
          </w:p>
        </w:tc>
        <w:tc>
          <w:tcPr>
            <w:tcW w:w="1700" w:type="dxa"/>
            <w:shd w:fill="0066FF"/>
          </w:tcPr>
          <w:p>
            <w:r>
              <w:rPr>
                <w:b/>
              </w:rPr>
              <w:t>Pilot</w:t>
            </w:r>
          </w:p>
        </w:tc>
        <w:tc>
          <w:tcPr>
            <w:tcW w:w="2200" w:type="dxa"/>
            <w:shd w:fill="0066FF"/>
          </w:tcPr>
          <w:p>
            <w:r>
              <w:rPr>
                <w:b/>
              </w:rPr>
              <w:t>Change</w:t>
            </w:r>
          </w:p>
        </w:tc>
        <w:tc>
          <w:tcPr>
            <w:tcW w:w="1160" w:type="dxa"/>
            <w:shd w:fill="0066FF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2600" w:type="dxa"/>
          </w:tcPr>
          <w:p>
            <w:r>
              <w:rPr/>
              <w:t>Turnaround time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-3.0 (-60%)</w:t>
            </w:r>
          </w:p>
        </w:tc>
        <w:tc>
          <w:tcPr>
            <w:tcW w:w="1160" w:type="dxa"/>
          </w:tcPr>
          <w:p>
            <w:r>
              <w:rPr/>
              <w:t>days</w:t>
            </w:r>
          </w:p>
        </w:tc>
      </w:tr>
      <w:tr>
        <w:tc>
          <w:tcPr>
            <w:tcW w:w="2600" w:type="dxa"/>
          </w:tcPr>
          <w:p>
            <w:r>
              <w:rPr/>
              <w:t>Formatting rework</w:t>
            </w:r>
          </w:p>
        </w:tc>
        <w:tc>
          <w:tcPr>
            <w:tcW w:w="1700" w:type="dxa"/>
          </w:tcPr>
          <w:p>
            <w:r>
              <w:rPr/>
              <w:t>14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  <w:tc>
          <w:tcPr>
            <w:tcW w:w="2200" w:type="dxa"/>
          </w:tcPr>
          <w:p>
            <w:r>
              <w:rPr/>
              <w:t>-10.0 (-71%)</w:t>
            </w:r>
          </w:p>
        </w:tc>
        <w:tc>
          <w:tcPr>
            <w:tcW w:w="1160" w:type="dxa"/>
          </w:tcPr>
          <w:p>
            <w:r>
              <w:rPr/>
              <w:t>items</w:t>
            </w:r>
          </w:p>
        </w:tc>
      </w:tr>
      <w:tr>
        <w:tc>
          <w:tcPr>
            <w:tcW w:w="2600" w:type="dxa"/>
          </w:tcPr>
          <w:p>
            <w:r>
              <w:rPr/>
              <w:t>Reviewer satisfaction</w:t>
            </w:r>
          </w:p>
        </w:tc>
        <w:tc>
          <w:tcPr>
            <w:tcW w:w="1700" w:type="dxa"/>
          </w:tcPr>
          <w:p>
            <w:r>
              <w:rPr/>
              <w:t>3.4</w:t>
            </w:r>
          </w:p>
        </w:tc>
        <w:tc>
          <w:tcPr>
            <w:tcW w:w="1700" w:type="dxa"/>
          </w:tcPr>
          <w:p>
            <w:r>
              <w:rPr/>
              <w:t>4.5</w:t>
            </w:r>
          </w:p>
        </w:tc>
        <w:tc>
          <w:tcPr>
            <w:tcW w:w="2200" w:type="dxa"/>
          </w:tcPr>
          <w:p>
            <w:r>
              <w:rPr/>
              <w:t>+1.1 (+32%)</w:t>
            </w:r>
          </w:p>
        </w:tc>
        <w:tc>
          <w:tcPr>
            <w:tcW w:w="1160" w:type="dxa"/>
          </w:tcPr>
          <w:p>
            <w:r>
              <w:rPr/>
              <w:t>score</w:t>
            </w:r>
          </w:p>
        </w:tc>
      </w:tr>
      <w:tr>
        <w:tc>
          <w:tcPr>
            <w:tcW w:w="2600" w:type="dxa"/>
          </w:tcPr>
          <w:p>
            <w:r>
              <w:rPr/>
              <w:t>Documents processed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  <w:tc>
          <w:tcPr>
            <w:tcW w:w="1700" w:type="dxa"/>
          </w:tcPr>
          <w:p>
            <w:r>
              <w:rPr/>
              <w:t>42</w:t>
            </w:r>
          </w:p>
        </w:tc>
        <w:tc>
          <w:tcPr>
            <w:tcW w:w="2200" w:type="dxa"/>
          </w:tcPr>
          <w:p>
            <w:r>
              <w:rPr/>
              <w:t>+24.0 (+133%)</w:t>
            </w:r>
          </w:p>
        </w:tc>
        <w:tc>
          <w:tcPr>
            <w:tcW w:w="1160" w:type="dxa"/>
          </w:tcPr>
          <w:p>
            <w:r>
              <w:rPr/>
              <w:t>documents</w:t>
            </w:r>
          </w:p>
        </w:tc>
      </w:tr>
    </w:tbl>
    <w:p>
      <w:pPr>
        <w:pStyle w:val="Heading1"/>
      </w:pPr>
      <w:r>
        <w:t>Main Points</w:t>
      </w:r>
    </w:p>
    <w:p>
      <w:pPr>
        <w:pStyle w:val="ListParagraph"/>
      </w:pPr>
      <w:r>
        <w:t>The pilot compressed document turnaround from five days to two days.</w:t>
      </w:r>
    </w:p>
    <w:p>
      <w:pPr>
        <w:pStyle w:val="ListParagraph"/>
      </w:pPr>
      <w:r>
        <w:t>Reviewers observed fewer formatting issues after template standardization.</w:t>
      </w:r>
    </w:p>
    <w:p>
      <w:pPr>
        <w:pStyle w:val="ListParagraph"/>
      </w:pPr>
      <w:r>
        <w:t>The required executive memo, PDF export, and five-slide summary deck are aligned to a shared theme.</w:t>
      </w:r>
    </w:p>
    <w:p>
      <w:pPr>
        <w:pStyle w:val="ListParagraph"/>
      </w:pPr>
      <w:r>
        <w:t>Risks remain around inconsistent source data quality and unclear ownership of final review.</w:t>
      </w:r>
    </w:p>
    <w:p>
      <w:pPr>
        <w:pStyle w:val="Heading1"/>
      </w:pPr>
      <w:r>
        <w:t>Recommended Next Steps</w:t>
      </w:r>
    </w:p>
    <w:p>
      <w:pPr>
        <w:pStyle w:val="ListParagraph"/>
      </w:pPr>
      <w:r>
        <w:t>Extend the pilot for one quarter with a defined success scorecard.</w:t>
      </w:r>
    </w:p>
    <w:p>
      <w:pPr>
        <w:pStyle w:val="ListParagraph"/>
      </w:pPr>
      <w:r>
        <w:t>Create a reviewer checklist covering source data completeness, formatting, and final approval ownership.</w:t>
      </w:r>
    </w:p>
    <w:p>
      <w:pPr>
        <w:pStyle w:val="ListParagraph"/>
      </w:pPr>
      <w:r>
        <w:t>Publish and govern a shared Tech Innovation theme package for memo, PDF, and deck outputs.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Title">
    <w:name w:val="Title"/>
    <w:rPr>
      <w:rFonts w:ascii="Arial" w:hAnsi="Arial"/>
      <w:b/>
      <w:color w:val="1E1E1E"/>
      <w:sz w:val="36"/>
    </w:rPr>
    <w:pPr>
      <w:spacing w:after="240"/>
    </w:pPr>
  </w:style>
  <w:style w:type="paragraph" w:styleId="Heading1">
    <w:name w:val="Heading 1"/>
    <w:rPr>
      <w:rFonts w:ascii="Arial" w:hAnsi="Arial"/>
      <w:b/>
      <w:color w:val="0066FF"/>
      <w:sz w:val="28"/>
    </w:rPr>
    <w:pPr>
      <w:spacing w:before="280" w:after="120"/>
    </w:pPr>
  </w:style>
  <w:style w:type="paragraph" w:styleId="ListParagraph">
    <w:name w:val="List Paragraph"/>
    <w:pPr>
      <w:ind w:left="360"/>
    </w:pPr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