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787A" w14:textId="704E7D72" w:rsidR="00E368FA" w:rsidRPr="001645CB" w:rsidRDefault="00000000">
      <w:pPr>
        <w:pStyle w:val="Title"/>
        <w:jc w:val="center"/>
        <w:rPr>
          <w:rFonts w:ascii="Arial" w:hAnsi="Arial" w:cs="Arial"/>
          <w:color w:val="000000" w:themeColor="text1"/>
        </w:rPr>
      </w:pPr>
      <w:r w:rsidRPr="001645CB">
        <w:rPr>
          <w:rFonts w:ascii="Arial" w:hAnsi="Arial" w:cs="Arial"/>
          <w:color w:val="000000" w:themeColor="text1"/>
        </w:rPr>
        <w:t>DSBA 6171 – Assignment 1</w:t>
      </w:r>
      <w:r w:rsidR="001645CB">
        <w:rPr>
          <w:rFonts w:ascii="Arial" w:hAnsi="Arial" w:cs="Arial"/>
          <w:color w:val="000000" w:themeColor="text1"/>
        </w:rPr>
        <w:t xml:space="preserve"> **DRAFT WORKING COPY**</w:t>
      </w:r>
      <w:r w:rsidRPr="001645CB">
        <w:rPr>
          <w:rFonts w:ascii="Arial" w:hAnsi="Arial" w:cs="Arial"/>
          <w:color w:val="000000" w:themeColor="text1"/>
        </w:rPr>
        <w:br/>
        <w:t>Domain Data &amp; Knowledge Microcosm Blueprint</w:t>
      </w:r>
    </w:p>
    <w:p w14:paraId="61AAA69A" w14:textId="0E2F752E" w:rsidR="00E368FA" w:rsidRPr="001645CB" w:rsidRDefault="00000000">
      <w:pPr>
        <w:jc w:val="center"/>
        <w:rPr>
          <w:rFonts w:cs="Arial"/>
          <w:b/>
          <w:bCs/>
          <w:u w:val="single"/>
        </w:rPr>
      </w:pPr>
      <w:r w:rsidRPr="001645CB">
        <w:rPr>
          <w:rFonts w:cs="Arial"/>
          <w:b/>
          <w:bCs/>
          <w:i/>
          <w:sz w:val="19"/>
          <w:u w:val="single"/>
        </w:rPr>
        <w:t>Team 1 | FinTech: Credit &amp; Loan Review</w:t>
      </w:r>
      <w:r w:rsidRPr="001645CB">
        <w:rPr>
          <w:rFonts w:cs="Arial"/>
          <w:b/>
          <w:bCs/>
          <w:i/>
          <w:sz w:val="19"/>
          <w:u w:val="single"/>
        </w:rPr>
        <w:br/>
      </w:r>
    </w:p>
    <w:p w14:paraId="6AC64A51" w14:textId="77777777" w:rsidR="00E368FA" w:rsidRPr="001645CB" w:rsidRDefault="00000000">
      <w:pPr>
        <w:pStyle w:val="Heading1"/>
        <w:rPr>
          <w:rFonts w:ascii="Arial" w:hAnsi="Arial" w:cs="Arial"/>
          <w:i/>
          <w:iCs/>
          <w:color w:val="000000" w:themeColor="text1"/>
        </w:rPr>
      </w:pPr>
      <w:r w:rsidRPr="001645CB">
        <w:rPr>
          <w:rFonts w:ascii="Arial" w:hAnsi="Arial" w:cs="Arial"/>
          <w:i/>
          <w:iCs/>
          <w:color w:val="000000" w:themeColor="text1"/>
        </w:rPr>
        <w:t>1. Business Scenario &amp; Decision Question</w:t>
      </w:r>
    </w:p>
    <w:p w14:paraId="541E069A" w14:textId="77777777" w:rsidR="00E368FA" w:rsidRPr="001645CB" w:rsidRDefault="00000000">
      <w:pPr>
        <w:rPr>
          <w:rFonts w:cs="Arial"/>
        </w:rPr>
      </w:pPr>
      <w:r w:rsidRPr="001645CB">
        <w:rPr>
          <w:rFonts w:cs="Arial"/>
        </w:rPr>
        <w:t>This project focuses on the personal loan approval and fair-lending review process within the FinTech credit and loan review domain. The proposed domain microcosm establishes the data and knowledge foundation for an AI agent designed to assist with personal loan review by connecting structured applicant and loan-product data with the underwriting and fair-lending policies applicable at the time of an application. The agent is designed to support loan underwriting officers, credit-risk managers, fair-lending compliance auditors, and internal audit teams by evaluating relevant information and determining whether an application should be approved, denied, or escalated for manual review. The objective is to establish an AI-ready environment in which lending recommendations account for credit risk and product eligibility while maintaining policy compliance, consistency, and explainability.</w:t>
      </w:r>
    </w:p>
    <w:p w14:paraId="1EF0217B" w14:textId="77777777" w:rsidR="00E368FA" w:rsidRPr="001645CB" w:rsidRDefault="00000000">
      <w:pPr>
        <w:rPr>
          <w:rFonts w:cs="Arial"/>
        </w:rPr>
      </w:pPr>
      <w:r w:rsidRPr="001645CB">
        <w:rPr>
          <w:rFonts w:cs="Arial"/>
        </w:rPr>
        <w:t>The primary business decision is whether a personal loan application should be approved, denied, or escalated for manual review based on the applicant's credit risk, selected loan product, and the underwriting policies in effect on the application date. Supporting this decision requires determining whether the applicant satisfies applicable eligibility requirements, including minimum credit score, income, debt-to-income ratio, and requested-loan limits. The process must also support evaluation of whether lending decisions are applied consistently across applicants without unexplained differences among protected demographic groups. Finally, each recommendation must be traceable to accurate application data, valid reason codes, and the appropriate version of the underwriting and fair-lending policies.</w:t>
      </w:r>
    </w:p>
    <w:p w14:paraId="7D4135DC" w14:textId="77777777" w:rsidR="00E368FA" w:rsidRPr="001645CB" w:rsidRDefault="00000000">
      <w:pPr>
        <w:pStyle w:val="Heading1"/>
        <w:rPr>
          <w:rFonts w:ascii="Arial" w:hAnsi="Arial" w:cs="Arial"/>
          <w:i/>
          <w:iCs/>
          <w:color w:val="000000" w:themeColor="text1"/>
        </w:rPr>
      </w:pPr>
      <w:r w:rsidRPr="001645CB">
        <w:rPr>
          <w:rFonts w:ascii="Arial" w:hAnsi="Arial" w:cs="Arial"/>
          <w:i/>
          <w:iCs/>
          <w:color w:val="000000" w:themeColor="text1"/>
        </w:rPr>
        <w:t>2. Structured Data Architecture</w:t>
      </w:r>
    </w:p>
    <w:p w14:paraId="49BC3261" w14:textId="77777777" w:rsidR="00E368FA" w:rsidRPr="001645CB" w:rsidRDefault="00000000">
      <w:pPr>
        <w:rPr>
          <w:rFonts w:cs="Arial"/>
        </w:rPr>
      </w:pPr>
      <w:r w:rsidRPr="001645CB">
        <w:rPr>
          <w:rFonts w:cs="Arial"/>
        </w:rPr>
        <w:t>The structured data architecture consists of four related datasets: applicants, loan products, credit pull events, and loan applications. The applicants dataset provides applicant-level information relevant to credit and eligibility review, including income, employment history, credit score and risk tier, housing status, geographic information, and application date. The loan_products dataset establishes product-level lending parameters, including risk criteria, base rates, maximum loan amounts, allowable term lengths, and debt-to-income limits. Credit activity is captured through the transactional credit_pull_events dataset, which records information such as credit score, debt-to-income ratio, risk status, credit bureau, and pull status. Primary and foreign keys connect these datasets through applicant and product identifiers, allowing the AI agent to evaluate applicant, product, and credit information together. The ERD documents these relationships and provides the relational model for the structured-data portion of the microcosm.</w:t>
      </w:r>
    </w:p>
    <w:p w14:paraId="53E59E03" w14:textId="77777777" w:rsidR="00E368FA" w:rsidRPr="001645CB" w:rsidRDefault="00000000">
      <w:pPr>
        <w:rPr>
          <w:rFonts w:cs="Arial"/>
        </w:rPr>
      </w:pPr>
      <w:r w:rsidRPr="001645CB">
        <w:rPr>
          <w:rFonts w:cs="Arial"/>
        </w:rPr>
        <w:t>The loan_applications dataset serves as the primary decision record, connecting each applicant and selected loan product to a decision status, approved amount, and approved term length. It also includes references to supporting documents, policy documents, and triggered rules, creating a bridge between the structured lending data and the knowledge assets that support the decision. Together, these relationships provide the structured evidence needed for the AI agent to evaluate credit risk, determine product eligibility, apply relevant lending criteria, and produce an explainable recommendation to approve, deny, or escalate an application for manual review.</w:t>
      </w:r>
    </w:p>
    <w:p w14:paraId="2AEBACB6" w14:textId="77777777" w:rsidR="00E368FA" w:rsidRPr="001645CB" w:rsidRDefault="00000000">
      <w:pPr>
        <w:pStyle w:val="Heading1"/>
        <w:rPr>
          <w:rFonts w:ascii="Arial" w:hAnsi="Arial" w:cs="Arial"/>
          <w:i/>
          <w:iCs/>
          <w:color w:val="000000" w:themeColor="text1"/>
        </w:rPr>
      </w:pPr>
      <w:r w:rsidRPr="001645CB">
        <w:rPr>
          <w:rFonts w:ascii="Arial" w:hAnsi="Arial" w:cs="Arial"/>
          <w:i/>
          <w:iCs/>
          <w:color w:val="000000" w:themeColor="text1"/>
        </w:rPr>
        <w:t>3. Knowledge Corpus &amp; Metadata — TBD</w:t>
      </w:r>
    </w:p>
    <w:p w14:paraId="2E4D90DE" w14:textId="77777777" w:rsidR="00E368FA" w:rsidRPr="001645CB" w:rsidRDefault="00000000">
      <w:pPr>
        <w:rPr>
          <w:rFonts w:cs="Arial"/>
        </w:rPr>
      </w:pPr>
      <w:r w:rsidRPr="001645CB">
        <w:rPr>
          <w:rFonts w:cs="Arial"/>
          <w:b/>
        </w:rPr>
        <w:t xml:space="preserve">Pending team artifact: </w:t>
      </w:r>
      <w:r w:rsidRPr="001645CB">
        <w:rPr>
          <w:rFonts w:cs="Arial"/>
        </w:rPr>
        <w:t>document inventory, document types, versions/states, metadata fields, and required linkage between structured lending records and the applicable underwriting/fair-lending knowledge assets. This section will be completed after the Knowledge &amp; Retrieval contribution is available.</w:t>
      </w:r>
    </w:p>
    <w:p w14:paraId="70BB6AD0" w14:textId="77777777" w:rsidR="00E368FA" w:rsidRPr="001645CB" w:rsidRDefault="00000000">
      <w:pPr>
        <w:pStyle w:val="Heading1"/>
        <w:rPr>
          <w:rFonts w:ascii="Arial" w:hAnsi="Arial" w:cs="Arial"/>
          <w:i/>
          <w:iCs/>
          <w:color w:val="000000" w:themeColor="text1"/>
        </w:rPr>
      </w:pPr>
      <w:r w:rsidRPr="001645CB">
        <w:rPr>
          <w:rFonts w:ascii="Arial" w:hAnsi="Arial" w:cs="Arial"/>
          <w:i/>
          <w:iCs/>
          <w:color w:val="000000" w:themeColor="text1"/>
        </w:rPr>
        <w:lastRenderedPageBreak/>
        <w:t>4. End-to-End Domain Microcosm Diagram — TBD</w:t>
      </w:r>
    </w:p>
    <w:p w14:paraId="60FDA96B" w14:textId="77777777" w:rsidR="00E368FA" w:rsidRPr="001645CB" w:rsidRDefault="00000000">
      <w:pPr>
        <w:rPr>
          <w:rFonts w:cs="Arial"/>
        </w:rPr>
      </w:pPr>
      <w:r w:rsidRPr="001645CB">
        <w:rPr>
          <w:rFonts w:cs="Arial"/>
          <w:b/>
        </w:rPr>
        <w:t xml:space="preserve">Pending final linkage details: </w:t>
      </w:r>
      <w:r w:rsidRPr="001645CB">
        <w:rPr>
          <w:rFonts w:cs="Arial"/>
        </w:rPr>
        <w:t>the diagram will connect the structured data assets and knowledge assets to the AI-assisted personal-loan review process and the approve, deny, or manual-review recommendation. The final diagram should reflect the team's completed metadata and required-linkage design rather than infer relationships that have not yet been defined.</w:t>
      </w:r>
    </w:p>
    <w:p w14:paraId="7E595173" w14:textId="77777777" w:rsidR="00E368FA" w:rsidRPr="001645CB" w:rsidRDefault="00000000">
      <w:pPr>
        <w:pStyle w:val="Heading1"/>
        <w:rPr>
          <w:rFonts w:ascii="Arial" w:hAnsi="Arial" w:cs="Arial"/>
          <w:i/>
          <w:iCs/>
          <w:color w:val="000000" w:themeColor="text1"/>
        </w:rPr>
      </w:pPr>
      <w:r w:rsidRPr="001645CB">
        <w:rPr>
          <w:rFonts w:ascii="Arial" w:hAnsi="Arial" w:cs="Arial"/>
          <w:i/>
          <w:iCs/>
          <w:color w:val="000000" w:themeColor="text1"/>
        </w:rPr>
        <w:t>5. Business Risk Matrix</w:t>
      </w:r>
    </w:p>
    <w:p w14:paraId="439691FA" w14:textId="77777777" w:rsidR="00E368FA" w:rsidRPr="001645CB" w:rsidRDefault="00000000">
      <w:pPr>
        <w:rPr>
          <w:rFonts w:cs="Arial"/>
        </w:rPr>
      </w:pPr>
      <w:r w:rsidRPr="001645CB">
        <w:rPr>
          <w:rFonts w:cs="Arial"/>
        </w:rPr>
        <w:t>The domain microcosm includes three controlled quality issues designed to demonstrate how failures across different layers of the architecture can affect the AI agent's output and the resulting business decision. At the ingestion layer, a duplicate credit-pull event may cause the agent to use the same credit information more than once or encounter conflicting information, potentially resulting in an incorrect risk assessment. A primary-key validation and deduplication control would prevent duplicate events from entering the decision process. At the knowledge layer, a superseded underwriting policy intentionally labeled as current creates the risk that the agent applies outdated lending requirements, potentially resulting in a compliance failure. This risk requires an authority filter that considers policy status and applicability before retrieval. Finally, a missing or invalid product_code prevents a loan application from being reliably connected to the appropriate product and its eligibility requirements, resulting in incomplete analysis. Foreign-key validation and a schema contract provide controls against this relational failure.</w:t>
      </w:r>
    </w:p>
    <w:p w14:paraId="026AFE90" w14:textId="77777777" w:rsidR="00E368FA" w:rsidRPr="001645CB" w:rsidRDefault="00000000">
      <w:pPr>
        <w:rPr>
          <w:rFonts w:cs="Arial"/>
        </w:rPr>
      </w:pPr>
      <w:r w:rsidRPr="001645CB">
        <w:rPr>
          <w:rFonts w:cs="Arial"/>
        </w:rPr>
        <w:t>Together, these controlled issues demonstrate that trustworthy AI-assisted lending depends on more than model performance. The quality, relationships, and contextual validity of the information supplied to the agent directly affect whether its recommendation is accurate, explainable, and compliant.</w:t>
      </w:r>
    </w:p>
    <w:p w14:paraId="727F7241" w14:textId="13830256" w:rsidR="00E368FA" w:rsidRPr="001645CB" w:rsidRDefault="00E368FA">
      <w:pPr>
        <w:rPr>
          <w:rFonts w:cs="Arial"/>
        </w:rPr>
      </w:pPr>
    </w:p>
    <w:sectPr w:rsidR="00E368FA" w:rsidRPr="001645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020049">
    <w:abstractNumId w:val="8"/>
  </w:num>
  <w:num w:numId="2" w16cid:durableId="1822188023">
    <w:abstractNumId w:val="6"/>
  </w:num>
  <w:num w:numId="3" w16cid:durableId="1824813891">
    <w:abstractNumId w:val="5"/>
  </w:num>
  <w:num w:numId="4" w16cid:durableId="1509712843">
    <w:abstractNumId w:val="4"/>
  </w:num>
  <w:num w:numId="5" w16cid:durableId="224032165">
    <w:abstractNumId w:val="7"/>
  </w:num>
  <w:num w:numId="6" w16cid:durableId="722099948">
    <w:abstractNumId w:val="3"/>
  </w:num>
  <w:num w:numId="7" w16cid:durableId="1780249173">
    <w:abstractNumId w:val="2"/>
  </w:num>
  <w:num w:numId="8" w16cid:durableId="557864194">
    <w:abstractNumId w:val="1"/>
  </w:num>
  <w:num w:numId="9" w16cid:durableId="684096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5CB"/>
    <w:rsid w:val="002003F1"/>
    <w:rsid w:val="0029639D"/>
    <w:rsid w:val="00326F90"/>
    <w:rsid w:val="00AA1D8D"/>
    <w:rsid w:val="00B47730"/>
    <w:rsid w:val="00CB0664"/>
    <w:rsid w:val="00E368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9BCEE"/>
  <w14:defaultImageDpi w14:val="300"/>
  <w15:docId w15:val="{A1C6DA10-E99E-49FE-85F4-9DED4CB17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Bobby Deasy</cp:lastModifiedBy>
  <cp:revision>2</cp:revision>
  <dcterms:created xsi:type="dcterms:W3CDTF">2026-09-08T22:57:00Z</dcterms:created>
  <dcterms:modified xsi:type="dcterms:W3CDTF">2026-09-08T22:57:00Z</dcterms:modified>
  <cp:category/>
</cp:coreProperties>
</file>