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rPr>
          <w:rFonts w:ascii="Times New Roman" w:hAnsi="Times New Roman" w:eastAsia="黑体"/>
          <w:b/>
          <w:sz w:val="36"/>
        </w:rPr>
        <w:t>面向精准农业的难例驱动 YOLO–SAM–LLM 田间苗期作物–杂草协同检测与质检闭环方法</w:t>
      </w:r>
    </w:p>
    <w:p>
      <w:pPr>
        <w:spacing w:line="360" w:lineRule="auto"/>
        <w:ind w:firstLine="0" w:left="283"/>
      </w:pPr>
      <w:r>
        <w:rPr>
          <w:rFonts w:ascii="Times New Roman" w:hAnsi="Times New Roman" w:eastAsia="宋体"/>
          <w:b/>
          <w:i/>
          <w:color w:val="505050"/>
          <w:sz w:val="21"/>
        </w:rPr>
        <w:t>稿件说明（投稿前必读）</w:t>
      </w:r>
      <w:r>
        <w:rPr>
          <w:rFonts w:ascii="Times New Roman" w:hAnsi="Times New Roman" w:eastAsia="宋体"/>
          <w:i/>
          <w:color w:val="505050"/>
          <w:sz w:val="21"/>
        </w:rPr>
        <w:t xml:space="preserve">   本文是基于工程原型 </w:t>
      </w:r>
      <w:r>
        <w:rPr>
          <w:rFonts w:ascii="Consolas" w:hAnsi="Consolas" w:eastAsia="宋体"/>
          <w:i/>
          <w:color w:val="505050"/>
          <w:sz w:val="21"/>
        </w:rPr>
        <w:t>field-yolo-sam-llm</w:t>
      </w:r>
      <w:r>
        <w:rPr>
          <w:rFonts w:ascii="Times New Roman" w:hAnsi="Times New Roman" w:eastAsia="宋体"/>
          <w:i/>
          <w:color w:val="505050"/>
          <w:sz w:val="21"/>
        </w:rPr>
        <w:t xml:space="preserve"> 整理的中文论文初稿，方法与流程与代码一致。当前仓库标注数据极少、尚未形成可复现的完整田间实验，</w:t>
      </w:r>
      <w:r>
        <w:rPr>
          <w:rFonts w:ascii="Times New Roman" w:hAnsi="Times New Roman" w:eastAsia="宋体"/>
          <w:b/>
          <w:i/>
          <w:color w:val="505050"/>
          <w:sz w:val="21"/>
        </w:rPr>
        <w:t>第 4 节定量结果表为“实验协议 + 占位示例”，正式投稿二区及以上期刊前必须替换为真实田间数据集上的实测结果</w:t>
      </w:r>
      <w:r>
        <w:rPr>
          <w:rFonts w:ascii="Times New Roman" w:hAnsi="Times New Roman" w:eastAsia="宋体"/>
          <w:i/>
          <w:color w:val="505050"/>
          <w:sz w:val="21"/>
        </w:rPr>
        <w:t>，并补充消融、统计显著性与伦理/数据采集说明。切勿将占位数字直接投出。</w:t>
      </w:r>
    </w:p>
    <w:p>
      <w:pPr>
        <w:spacing w:line="360" w:lineRule="auto"/>
        <w:ind w:firstLine="420"/>
      </w:pPr>
      <w:r>
        <w:rPr>
          <w:rFonts w:ascii="Times New Roman" w:hAnsi="Times New Roman" w:eastAsia="宋体"/>
          <w:b/>
          <w:sz w:val="24"/>
        </w:rPr>
        <w:t>摘要：</w:t>
      </w:r>
      <w:r>
        <w:rPr>
          <w:rFonts w:ascii="Times New Roman" w:hAnsi="Times New Roman" w:eastAsia="宋体"/>
          <w:sz w:val="24"/>
        </w:rPr>
        <w:t xml:space="preserve"> 苗期精准除草依赖对玉米苗与杂草的可靠识别，但田间场景存在小目标、遮挡粘连、光照变化与类间外观相近等问题，单一检测模型往往在不确定样本上误差集中，而全量调用分割大模型成本高、且难以直接服务农事决策。本文提出一种职责解耦的协同检测与质检闭环框架：以 YOLO 作为实时检测与 mAP 验收主体，负责提供类别、置信度与初检框；以难例挖掘策略筛选不确定框与拥挤场景，仅对预算内样本调用 Segment Anything Model（SAM）进行 box-prompt 掩膜精炼并以掩膜外接框回写定位；再以大语言模型（LLM）消费结构化检测摘要，生成不改写检测结果的质检意见与中文农事报告。框架显式规定：类别与置信度始终来自 YOLO，框仅在 SAM 成功时替换，且每条结果保留 </w:t>
      </w:r>
      <w:r>
        <w:rPr>
          <w:rFonts w:ascii="Consolas" w:hAnsi="Consolas" w:eastAsia="宋体"/>
          <w:sz w:val="24"/>
        </w:rPr>
        <w:t>refined_by</w:t>
      </w:r>
      <w:r>
        <w:rPr>
          <w:rFonts w:ascii="Times New Roman" w:hAnsi="Times New Roman" w:eastAsia="宋体"/>
          <w:sz w:val="24"/>
        </w:rPr>
        <w:t xml:space="preserve"> 溯源标记；LLM 不参与框与类别修改，也不进入检测指标。该设计在保证检测可复现验收的同时，将昂贵视觉大模型算力集中到难例，并把自然语言质检与业务报告从指标链路中隔离出来。本文给出系统架构、难例评分、框级融合规则、标签回灌机制与实验协议，可为田间智能监测与半自动标注提供可落地的方法模板。</w:t>
      </w:r>
    </w:p>
    <w:p>
      <w:pPr>
        <w:spacing w:line="360" w:lineRule="auto"/>
        <w:ind w:firstLine="420"/>
      </w:pPr>
      <w:r>
        <w:rPr>
          <w:rFonts w:ascii="Times New Roman" w:hAnsi="Times New Roman" w:eastAsia="宋体"/>
          <w:b/>
          <w:sz w:val="24"/>
        </w:rPr>
        <w:t>关键词：</w:t>
      </w:r>
      <w:r>
        <w:rPr>
          <w:rFonts w:ascii="Times New Roman" w:hAnsi="Times New Roman" w:eastAsia="宋体"/>
          <w:sz w:val="24"/>
        </w:rPr>
        <w:t xml:space="preserve"> 精准农业；苗期杂草检测；YOLO；Segment Anything Model；大语言模型；难例挖掘；人机协同质检</w:t>
      </w:r>
    </w:p>
    <w:p>
      <w:pPr>
        <w:spacing w:line="360" w:lineRule="auto"/>
        <w:ind w:firstLine="420"/>
      </w:pPr>
      <w:r>
        <w:rPr>
          <w:rFonts w:ascii="Times New Roman" w:hAnsi="Times New Roman" w:eastAsia="宋体"/>
          <w:b/>
          <w:sz w:val="24"/>
        </w:rPr>
        <w:t>中图分类号（建议）：</w:t>
      </w:r>
      <w:r>
        <w:rPr>
          <w:rFonts w:ascii="Times New Roman" w:hAnsi="Times New Roman" w:eastAsia="宋体"/>
          <w:sz w:val="24"/>
        </w:rPr>
        <w:t xml:space="preserve"> TP391；S126</w:t>
      </w:r>
    </w:p>
    <w:p>
      <w:pPr>
        <w:spacing w:line="360" w:lineRule="auto"/>
        <w:ind w:firstLine="420"/>
      </w:pPr>
      <w:r>
        <w:rPr>
          <w:rFonts w:ascii="Times New Roman" w:hAnsi="Times New Roman" w:eastAsia="宋体"/>
          <w:b/>
          <w:sz w:val="24"/>
        </w:rPr>
        <w:t>文献标志码：</w:t>
      </w:r>
      <w:r>
        <w:rPr>
          <w:rFonts w:ascii="Times New Roman" w:hAnsi="Times New Roman" w:eastAsia="宋体"/>
          <w:sz w:val="24"/>
        </w:rPr>
        <w:t xml:space="preserve"> A</w:t>
      </w:r>
    </w:p>
    <w:p>
      <w:pPr>
        <w:pStyle w:val="Heading2"/>
        <w:spacing w:before="240" w:after="120"/>
        <w:ind w:firstLine="0"/>
      </w:pPr>
      <w:r>
        <w:rPr>
          <w:rFonts w:ascii="Times New Roman" w:hAnsi="Times New Roman" w:eastAsia="黑体"/>
          <w:b/>
          <w:sz w:val="28"/>
        </w:rPr>
        <w:t>1 引言</w:t>
      </w:r>
    </w:p>
    <w:p>
      <w:pPr>
        <w:spacing w:line="360" w:lineRule="auto"/>
        <w:ind w:firstLine="420"/>
      </w:pPr>
      <w:r>
        <w:rPr>
          <w:rFonts w:ascii="Times New Roman" w:hAnsi="Times New Roman" w:eastAsia="宋体"/>
          <w:sz w:val="24"/>
        </w:rPr>
        <w:t>玉米是我国重要的粮食与饲料作物。苗期杂草与作物争光、争水、争肥，若不能及时区分并实施靶向管理，会显著影响后期产量与投入产出比。随着植保无人机、田间机器人与高通量成像设备的普及，基于计算机视觉的作物–杂草自动识别成为精准农业的关键环节之一。与温室或受控环境不同，真实田间图像往往同时包含：目标尺度小、叶片相互遮挡、土壤背景复杂、光照与阴影剧烈变化，以及阔叶杂草与禾本科杂草在纹理上的混淆。这些问题使得“只追求平均 mAP”的单一检测模型在部署时仍会出现局部失效——错误经常集中在置信度中间带、目标密集区和疑似漏检图上。</w:t>
      </w:r>
    </w:p>
    <w:p>
      <w:pPr>
        <w:spacing w:line="360" w:lineRule="auto"/>
        <w:ind w:firstLine="420"/>
      </w:pPr>
      <w:r>
        <w:rPr>
          <w:rFonts w:ascii="Times New Roman" w:hAnsi="Times New Roman" w:eastAsia="宋体"/>
          <w:sz w:val="24"/>
        </w:rPr>
        <w:t>近年来，以 YOLO 系列为代表的单阶段目标检测器在农业目标检测中得到广泛应用，具备速度与精度较均衡的优势，适合作为田间实时感知的主干。与此同时，以 Segment Anything Model（SAM）为代表的视觉基础模型展现出强大的交互式分割与零样本泛化能力，可通过点、框等提示生成高质量掩膜，为定位精炼与半自动标注提供新工具。另一方面，大语言模型（LLM）在结构化信息理解、风险归纳与自然语言报告生成方面进展迅速，为“检测结果 → 可执行农事建议”的最后一公里提供了接口。然而，若简单地将 YOLO、SAM 与 LLM 堆叠，容易出现三类问题：（1）全量图像调用 SAM 带来不可接受的算力与时延；（2）用分割或语言模块改写类别会破坏检测验收口径，使 mAP 不可解释；（3）LLM 若直接“编造”坐标与类别，会引入不可控幻觉，损害系统可信度。</w:t>
      </w:r>
    </w:p>
    <w:p>
      <w:pPr>
        <w:spacing w:line="360" w:lineRule="auto"/>
        <w:ind w:firstLine="420"/>
      </w:pPr>
      <w:r>
        <w:rPr>
          <w:rFonts w:ascii="Times New Roman" w:hAnsi="Times New Roman" w:eastAsia="宋体"/>
          <w:sz w:val="24"/>
        </w:rPr>
        <w:t xml:space="preserve">针对上述矛盾，本文围绕工程系统 </w:t>
      </w:r>
      <w:r>
        <w:rPr>
          <w:rFonts w:ascii="Consolas" w:hAnsi="Consolas" w:eastAsia="宋体"/>
          <w:sz w:val="24"/>
        </w:rPr>
        <w:t>field-yolo-sam-llm</w:t>
      </w:r>
      <w:r>
        <w:rPr>
          <w:rFonts w:ascii="Times New Roman" w:hAnsi="Times New Roman" w:eastAsia="宋体"/>
          <w:sz w:val="24"/>
        </w:rPr>
        <w:t xml:space="preserve"> 所实现的方法，提出并系统阐述一种</w:t>
      </w:r>
      <w:r>
        <w:rPr>
          <w:rFonts w:ascii="Times New Roman" w:hAnsi="Times New Roman" w:eastAsia="宋体"/>
          <w:b/>
          <w:sz w:val="24"/>
        </w:rPr>
        <w:t>难例驱动、职责解耦</w:t>
      </w:r>
      <w:r>
        <w:rPr>
          <w:rFonts w:ascii="Times New Roman" w:hAnsi="Times New Roman" w:eastAsia="宋体"/>
          <w:sz w:val="24"/>
        </w:rPr>
        <w:t>的田间苗期协同检测与质检闭环：</w:t>
      </w:r>
    </w:p>
    <w:p>
      <w:pPr>
        <w:pStyle w:val="ListBullet"/>
        <w:ind w:firstLine="0"/>
      </w:pPr>
      <w:r>
        <w:rPr>
          <w:rFonts w:ascii="Times New Roman" w:hAnsi="Times New Roman" w:eastAsia="宋体"/>
          <w:b/>
          <w:sz w:val="24"/>
        </w:rPr>
        <w:t>YOLO 主责检测验收</w:t>
      </w:r>
      <w:r>
        <w:rPr>
          <w:rFonts w:ascii="Times New Roman" w:hAnsi="Times New Roman" w:eastAsia="宋体"/>
          <w:sz w:val="24"/>
        </w:rPr>
        <w:t>：输出类别、置信度与初检框，系统级检测性能以 YOLO 的 Precision、Recall、mAP 为准；</w:t>
      </w:r>
    </w:p>
    <w:p>
      <w:pPr>
        <w:pStyle w:val="ListBullet"/>
        <w:ind w:firstLine="0"/>
      </w:pPr>
      <w:r>
        <w:rPr>
          <w:rFonts w:ascii="Times New Roman" w:hAnsi="Times New Roman" w:eastAsia="宋体"/>
          <w:b/>
          <w:sz w:val="24"/>
        </w:rPr>
        <w:t>难例驱动的 SAM 精炼</w:t>
      </w:r>
      <w:r>
        <w:rPr>
          <w:rFonts w:ascii="Times New Roman" w:hAnsi="Times New Roman" w:eastAsia="宋体"/>
          <w:sz w:val="24"/>
        </w:rPr>
        <w:t>：根据不确定置信区间、低置信密度与目标拥挤度计算难例分数，仅对不确定框或难例图调用 SAM，用掩膜外接框改善定位，</w:t>
      </w:r>
      <w:r>
        <w:rPr>
          <w:rFonts w:ascii="Times New Roman" w:hAnsi="Times New Roman" w:eastAsia="宋体"/>
          <w:b/>
          <w:sz w:val="24"/>
        </w:rPr>
        <w:t>不改变类别与置信度</w:t>
      </w:r>
      <w:r>
        <w:rPr>
          <w:rFonts w:ascii="Times New Roman" w:hAnsi="Times New Roman" w:eastAsia="宋体"/>
          <w:sz w:val="24"/>
        </w:rPr>
        <w:t>；</w:t>
      </w:r>
    </w:p>
    <w:p>
      <w:pPr>
        <w:pStyle w:val="ListBullet"/>
        <w:ind w:firstLine="0"/>
      </w:pPr>
      <w:r>
        <w:rPr>
          <w:rFonts w:ascii="Times New Roman" w:hAnsi="Times New Roman" w:eastAsia="宋体"/>
          <w:b/>
          <w:sz w:val="24"/>
        </w:rPr>
        <w:t>LLM 结构化质检与报告</w:t>
      </w:r>
      <w:r>
        <w:rPr>
          <w:rFonts w:ascii="Times New Roman" w:hAnsi="Times New Roman" w:eastAsia="宋体"/>
          <w:sz w:val="24"/>
        </w:rPr>
        <w:t>：仅输入检测摘要（非原图），强制输出 JSON 质检字段与 Markdown 报告，</w:t>
      </w:r>
      <w:r>
        <w:rPr>
          <w:rFonts w:ascii="Times New Roman" w:hAnsi="Times New Roman" w:eastAsia="宋体"/>
          <w:b/>
          <w:sz w:val="24"/>
        </w:rPr>
        <w:t>禁止改写框与类别</w:t>
      </w:r>
      <w:r>
        <w:rPr>
          <w:rFonts w:ascii="Times New Roman" w:hAnsi="Times New Roman" w:eastAsia="宋体"/>
          <w:sz w:val="24"/>
        </w:rPr>
        <w:t>，从而把业务可读性与检测指标隔离。</w:t>
      </w:r>
    </w:p>
    <w:p>
      <w:pPr>
        <w:spacing w:line="360" w:lineRule="auto"/>
        <w:ind w:firstLine="420"/>
      </w:pPr>
      <w:r>
        <w:rPr>
          <w:rFonts w:ascii="Times New Roman" w:hAnsi="Times New Roman" w:eastAsia="宋体"/>
          <w:sz w:val="24"/>
        </w:rPr>
        <w:t>本文的主要贡献可概括为：</w:t>
      </w:r>
    </w:p>
    <w:p>
      <w:pPr>
        <w:pStyle w:val="ListBullet"/>
        <w:ind w:firstLine="0"/>
      </w:pPr>
      <w:r>
        <w:rPr>
          <w:rFonts w:ascii="Times New Roman" w:hAnsi="Times New Roman" w:eastAsia="宋体"/>
          <w:sz w:val="24"/>
        </w:rPr>
        <w:t>提出面向田间苗期三类目标（玉米苗、阔叶杂草、禾本科杂草）的 YOLO–SAM–LLM 闭环架构，并给出可复述的框级融合与溯源规则；</w:t>
      </w:r>
    </w:p>
    <w:p>
      <w:pPr>
        <w:pStyle w:val="ListBullet"/>
        <w:ind w:firstLine="0"/>
      </w:pPr>
      <w:r>
        <w:rPr>
          <w:rFonts w:ascii="Times New Roman" w:hAnsi="Times New Roman" w:eastAsia="宋体"/>
          <w:sz w:val="24"/>
        </w:rPr>
        <w:t>设计可解释的难例评分函数与预算分配策略，使 SAM 算力集中于不确定与拥挤样本；</w:t>
      </w:r>
    </w:p>
    <w:p>
      <w:pPr>
        <w:pStyle w:val="ListBullet"/>
        <w:ind w:firstLine="0"/>
      </w:pPr>
      <w:r>
        <w:rPr>
          <w:rFonts w:ascii="Times New Roman" w:hAnsi="Times New Roman" w:eastAsia="宋体"/>
          <w:sz w:val="24"/>
        </w:rPr>
        <w:t>建立 SAM 精炼标签回写（YOLO txt）机制，支持半自动标注与迭代再训练；</w:t>
      </w:r>
    </w:p>
    <w:p>
      <w:pPr>
        <w:pStyle w:val="ListBullet"/>
        <w:ind w:firstLine="0"/>
      </w:pPr>
      <w:r>
        <w:rPr>
          <w:rFonts w:ascii="Times New Roman" w:hAnsi="Times New Roman" w:eastAsia="宋体"/>
          <w:sz w:val="24"/>
        </w:rPr>
        <w:t>给出面向二区及以上期刊投稿所需的实验协议、消融设计与评价指标体系（需在真实数据上完成实测）。</w:t>
      </w:r>
    </w:p>
    <w:p>
      <w:pPr>
        <w:spacing w:line="360" w:lineRule="auto"/>
        <w:ind w:firstLine="420"/>
      </w:pPr>
      <w:r>
        <w:rPr>
          <w:rFonts w:ascii="Times New Roman" w:hAnsi="Times New Roman" w:eastAsia="宋体"/>
          <w:sz w:val="24"/>
        </w:rPr>
        <w:t>从产业与科研双重需求出发，苗期识别系统还应满足四点工程约束：其一，推理链路需可在田间移动平台或巡田后处理节点上稳定运行；其二，指标口径必须可复现，便于不同批次模型横向比较；其三，标注成本必须可控，因为农业目标具有季节性，每年都需补充新域数据；其四，输出必须能被非算法背景的农技人员理解，否则模型难以进入真实决策闭环。基于上述约束，简单追求排行榜式的检测精度并不足够，构建“检测—精炼—质检—回灌”的完整方法链条更具实际价值。</w:t>
      </w:r>
    </w:p>
    <w:p>
      <w:pPr>
        <w:spacing w:line="360" w:lineRule="auto"/>
        <w:ind w:firstLine="420"/>
      </w:pPr>
      <w:r>
        <w:rPr>
          <w:rFonts w:ascii="Times New Roman" w:hAnsi="Times New Roman" w:eastAsia="宋体"/>
          <w:sz w:val="24"/>
        </w:rPr>
        <w:t>全文结构如下：第 2 节回顾相关工作；第 3 节详述方法；第 4 节给出实验协议与结果框架；第 5 节讨论；第 6 节总结与展望。</w:t>
      </w:r>
    </w:p>
    <w:p>
      <w:pPr>
        <w:pStyle w:val="Heading2"/>
        <w:spacing w:before="240" w:after="120"/>
        <w:ind w:firstLine="0"/>
      </w:pPr>
      <w:r>
        <w:rPr>
          <w:rFonts w:ascii="Times New Roman" w:hAnsi="Times New Roman" w:eastAsia="黑体"/>
          <w:b/>
          <w:sz w:val="28"/>
        </w:rPr>
        <w:t>2 相关工作</w:t>
      </w:r>
    </w:p>
    <w:p>
      <w:pPr>
        <w:pStyle w:val="Heading3"/>
        <w:spacing w:before="240" w:after="120"/>
        <w:ind w:firstLine="0"/>
      </w:pPr>
      <w:r>
        <w:rPr>
          <w:rFonts w:ascii="Times New Roman" w:hAnsi="Times New Roman" w:eastAsia="黑体"/>
          <w:b/>
          <w:sz w:val="24"/>
        </w:rPr>
        <w:t>2.1 农业场景下的目标检测</w:t>
      </w:r>
    </w:p>
    <w:p>
      <w:pPr>
        <w:spacing w:line="360" w:lineRule="auto"/>
        <w:ind w:firstLine="420"/>
      </w:pPr>
      <w:r>
        <w:rPr>
          <w:rFonts w:ascii="Times New Roman" w:hAnsi="Times New Roman" w:eastAsia="宋体"/>
          <w:sz w:val="24"/>
        </w:rPr>
        <w:t>作物与杂草检测长期是农业计算机视觉的核心任务。传统方法依赖颜色指数、纹理特征与机器学习分类器，对光照与背景变化敏感。深度学习兴起后，两阶段检测器（如 Faster R-CNN）与单阶段检测器（如 SSD、YOLO 系列）被广泛用于杂草识别、病虫害检测与果实计数。YOLO 系列因端到端训练与实时推理特性，成为田间边缘部署的常见选择。已有研究通过改进骨干网络、注意力机制、小目标检测头或数据增强，提升复杂背景下的检测精度。但多数工作仍将系统终点定义为“更高的 mAP”，对不确定样本的后续处理、标注成本与农事可解释输出关注不足。</w:t>
      </w:r>
    </w:p>
    <w:p>
      <w:pPr>
        <w:pStyle w:val="Heading3"/>
        <w:spacing w:before="240" w:after="120"/>
        <w:ind w:firstLine="0"/>
      </w:pPr>
      <w:r>
        <w:rPr>
          <w:rFonts w:ascii="Times New Roman" w:hAnsi="Times New Roman" w:eastAsia="黑体"/>
          <w:b/>
          <w:sz w:val="24"/>
        </w:rPr>
        <w:t>2.2 分割基础模型与检测精炼</w:t>
      </w:r>
    </w:p>
    <w:p>
      <w:pPr>
        <w:spacing w:line="360" w:lineRule="auto"/>
        <w:ind w:firstLine="420"/>
      </w:pPr>
      <w:r>
        <w:rPr>
          <w:rFonts w:ascii="Times New Roman" w:hAnsi="Times New Roman" w:eastAsia="宋体"/>
          <w:sz w:val="24"/>
        </w:rPr>
        <w:t>SAM 等视觉基础模型通过大规模掩膜预训练，具备强大的提示式分割能力。在农业中，SAM 已被用于叶片分割、果实实例分割与标注加速。将检测框作为 box prompt 输入 SAM，可得到更贴合目标轮廓的掩膜，进而由掩膜外接矩形回写更紧的定位框。需要强调的是：SAM 本身通常不直接承担细粒度农业类别判别；若用分割结果反推类别，反而可能引入新的错误来源。因此，本文坚持“SAM 只精炼几何、不改分类”的原则，使其服务定位与标注，而非替代检测器。</w:t>
      </w:r>
    </w:p>
    <w:p>
      <w:pPr>
        <w:pStyle w:val="Heading3"/>
        <w:spacing w:before="240" w:after="120"/>
        <w:ind w:firstLine="0"/>
      </w:pPr>
      <w:r>
        <w:rPr>
          <w:rFonts w:ascii="Times New Roman" w:hAnsi="Times New Roman" w:eastAsia="黑体"/>
          <w:b/>
          <w:sz w:val="24"/>
        </w:rPr>
        <w:t>2.3 难例挖掘与主动学习</w:t>
      </w:r>
    </w:p>
    <w:p>
      <w:pPr>
        <w:spacing w:line="360" w:lineRule="auto"/>
        <w:ind w:firstLine="420"/>
      </w:pPr>
      <w:r>
        <w:rPr>
          <w:rFonts w:ascii="Times New Roman" w:hAnsi="Times New Roman" w:eastAsia="宋体"/>
          <w:sz w:val="24"/>
        </w:rPr>
        <w:t>主动学习与难例挖掘旨在把有限标注/计算预算分配到信息量大的样本上。常见策略包括低置信采样、熵采样、委员会分歧与密度聚类等。田间部署中，全量精炼不现实，因此难例驱动具有工程必然性。本文将难例信号具体化为三类可计算特征：不确定置信带、低置信框数量与目标拥挤度，形成透明可调的打分函数，便于与农艺人员共同设定阈值。</w:t>
      </w:r>
    </w:p>
    <w:p>
      <w:pPr>
        <w:pStyle w:val="Heading3"/>
        <w:spacing w:before="240" w:after="120"/>
        <w:ind w:firstLine="0"/>
      </w:pPr>
      <w:r>
        <w:rPr>
          <w:rFonts w:ascii="Times New Roman" w:hAnsi="Times New Roman" w:eastAsia="黑体"/>
          <w:b/>
          <w:sz w:val="24"/>
        </w:rPr>
        <w:t>2.4 大语言模型在农业决策中的应用</w:t>
      </w:r>
    </w:p>
    <w:p>
      <w:pPr>
        <w:spacing w:line="360" w:lineRule="auto"/>
        <w:ind w:firstLine="420"/>
      </w:pPr>
      <w:r>
        <w:rPr>
          <w:rFonts w:ascii="Times New Roman" w:hAnsi="Times New Roman" w:eastAsia="宋体"/>
          <w:sz w:val="24"/>
        </w:rPr>
        <w:t>LLM 已被探索用于农业问答、病虫害知识检索与田间管理建议生成。若直接把图像或冗长检测日志丢给 LLM，既昂贵又难控幻觉。更稳健的做法是：先由视觉模型完成感知，再将结构化摘要交给 LLM 做归纳、风险提示与报告润色。本文采用“摘要进、JSON 出、禁止改框”的约束式调用，使 LLM 定位为质检助手与报告生成器，而非第二检测器。</w:t>
      </w:r>
    </w:p>
    <w:p>
      <w:pPr>
        <w:pStyle w:val="Heading3"/>
        <w:spacing w:before="240" w:after="120"/>
        <w:ind w:firstLine="0"/>
      </w:pPr>
      <w:r>
        <w:rPr>
          <w:rFonts w:ascii="Times New Roman" w:hAnsi="Times New Roman" w:eastAsia="黑体"/>
          <w:b/>
          <w:sz w:val="24"/>
        </w:rPr>
        <w:t>2.5 精准除草与处方图生成中的感知需求</w:t>
      </w:r>
    </w:p>
    <w:p>
      <w:pPr>
        <w:spacing w:line="360" w:lineRule="auto"/>
        <w:ind w:firstLine="420"/>
      </w:pPr>
      <w:r>
        <w:rPr>
          <w:rFonts w:ascii="Times New Roman" w:hAnsi="Times New Roman" w:eastAsia="宋体"/>
          <w:sz w:val="24"/>
        </w:rPr>
        <w:t>从农艺作业链路看，苗期检测并非孤立的视觉任务，而是变量喷雾、机械除草与人工复核不均衡配置的上游输入。典型流程为：巡田成像 → 目标识别与密度估计 → 生成杂草压力图/处方图 → 执行机构按处方作业 → 效果复核。其中，感知模块若在作物行上出现系统性误检，会导致“伤苗”；若在杂草聚集区漏检，则会导致“漏除”。二者造成的经济与生态代价不对称：伤苗直接损害产量，漏除增加后续防治成本与抗性风险。因此，系统不仅需要报告平均精度，还需要暴露高风险图像、支持分层复核，并保留每条检测的来源标记以便事后追溯。本文引入的难例清单与 LLM 质检报告，正是为这一业务约束服务：把有限人工注意力引导到最可能出错的样本上，而不是要求农技人员逐张审阅全部航拍或地面图像。</w:t>
      </w:r>
    </w:p>
    <w:p>
      <w:pPr>
        <w:pStyle w:val="Heading3"/>
        <w:spacing w:before="240" w:after="120"/>
        <w:ind w:firstLine="0"/>
      </w:pPr>
      <w:r>
        <w:rPr>
          <w:rFonts w:ascii="Times New Roman" w:hAnsi="Times New Roman" w:eastAsia="黑体"/>
          <w:b/>
          <w:sz w:val="24"/>
        </w:rPr>
        <w:t>2.6 多模型协同的常见范式及其局限</w:t>
      </w:r>
    </w:p>
    <w:p>
      <w:pPr>
        <w:spacing w:line="360" w:lineRule="auto"/>
        <w:ind w:firstLine="420"/>
      </w:pPr>
      <w:r>
        <w:rPr>
          <w:rFonts w:ascii="Times New Roman" w:hAnsi="Times New Roman" w:eastAsia="宋体"/>
          <w:sz w:val="24"/>
        </w:rPr>
        <w:t>现有多模型协同大致可分为三类。第一类是“检测+分割串联”，即检测框裁剪后送入分割网络获得掩膜；其优点是实例边界清晰，缺点是对每一检出目标都调用分割，成本随目标数线性增长，且分割网络往往需要额外农业掩膜标注。第二类是“教师–学生/伪标签自训练”，用高容量模型或强增强产生伪标签再蒸馏；该方法能扩大数据，但对阈值与噪声标签敏感，田间类间相似时易发生确认偏差。第三类是“多模态大模型端到端问答”，直接询问图像中作物与杂草位置；其交互友好，但坐标稳定性、类别细粒度与实时性仍难满足机载/车载闭环控制，且评测协议尚未像目标检测一样标准化。本文采取第四条路径：以成熟检测器守住实时性与 mAP 口径，以基础分割模型按预算精炼几何，以语言模型守住可解释质检，三者通过明确接口协议连接，而不是融合成一个不可审计的黑箱。</w:t>
      </w:r>
    </w:p>
    <w:p>
      <w:pPr>
        <w:pStyle w:val="Heading3"/>
        <w:spacing w:before="240" w:after="120"/>
        <w:ind w:firstLine="0"/>
      </w:pPr>
      <w:r>
        <w:rPr>
          <w:rFonts w:ascii="Times New Roman" w:hAnsi="Times New Roman" w:eastAsia="黑体"/>
          <w:b/>
          <w:sz w:val="24"/>
        </w:rPr>
        <w:t>2.7 与本文的差异</w:t>
      </w:r>
    </w:p>
    <w:p>
      <w:pPr>
        <w:spacing w:line="360" w:lineRule="auto"/>
        <w:ind w:firstLine="420"/>
      </w:pPr>
      <w:r>
        <w:rPr>
          <w:rFonts w:ascii="Times New Roman" w:hAnsi="Times New Roman" w:eastAsia="宋体"/>
          <w:sz w:val="24"/>
        </w:rPr>
        <w:t>相较于“仅 YOLO 检测”“YOLO+全图分割”或“端到端多模态大模型替代检测”的路线，本文强调</w:t>
      </w:r>
      <w:r>
        <w:rPr>
          <w:rFonts w:ascii="Times New Roman" w:hAnsi="Times New Roman" w:eastAsia="宋体"/>
          <w:b/>
          <w:sz w:val="24"/>
        </w:rPr>
        <w:t>指标口径清晰</w:t>
      </w:r>
      <w:r>
        <w:rPr>
          <w:rFonts w:ascii="Times New Roman" w:hAnsi="Times New Roman" w:eastAsia="宋体"/>
          <w:sz w:val="24"/>
        </w:rPr>
        <w:t>与</w:t>
      </w:r>
      <w:r>
        <w:rPr>
          <w:rFonts w:ascii="Times New Roman" w:hAnsi="Times New Roman" w:eastAsia="宋体"/>
          <w:b/>
          <w:sz w:val="24"/>
        </w:rPr>
        <w:t>成本可控</w:t>
      </w:r>
      <w:r>
        <w:rPr>
          <w:rFonts w:ascii="Times New Roman" w:hAnsi="Times New Roman" w:eastAsia="宋体"/>
          <w:sz w:val="24"/>
        </w:rPr>
        <w:t>：检测验收只认 YOLO；SAM 按难例预算调用；LLM 不污染 mAP。与单纯主动学习论文相比，本文将难例分数同时用于计算预算分配与人工复核排序，形成“训练期可回灌、推理期可质检”的双重用途。这一分工更契合田间工程落地与学术评价的双重要求。</w:t>
      </w:r>
    </w:p>
    <w:p>
      <w:pPr>
        <w:pStyle w:val="Heading2"/>
        <w:spacing w:before="240" w:after="120"/>
        <w:ind w:firstLine="0"/>
      </w:pPr>
      <w:r>
        <w:rPr>
          <w:rFonts w:ascii="Times New Roman" w:hAnsi="Times New Roman" w:eastAsia="黑体"/>
          <w:b/>
          <w:sz w:val="28"/>
        </w:rPr>
        <w:t>3 方法</w:t>
      </w:r>
    </w:p>
    <w:p>
      <w:pPr>
        <w:pStyle w:val="Heading3"/>
        <w:spacing w:before="240" w:after="120"/>
        <w:ind w:firstLine="0"/>
      </w:pPr>
      <w:r>
        <w:rPr>
          <w:rFonts w:ascii="Times New Roman" w:hAnsi="Times New Roman" w:eastAsia="黑体"/>
          <w:b/>
          <w:sz w:val="24"/>
        </w:rPr>
        <w:t>3.1 问题定义与系统目标</w:t>
      </w:r>
    </w:p>
    <w:p>
      <w:pPr>
        <w:spacing w:line="360" w:lineRule="auto"/>
        <w:ind w:firstLine="420"/>
      </w:pPr>
      <w:r>
        <w:rPr>
          <w:rFonts w:ascii="Times New Roman" w:hAnsi="Times New Roman" w:eastAsia="宋体"/>
          <w:sz w:val="24"/>
        </w:rPr>
        <w:t>给定田间 RGB 图像集合 \(\mathcal{I}=\{I_n\}_{n=1}^{N}\)，目标是识别三类实例：玉米苗（maize）、阔叶杂草（broadleaf）与禾本科杂草（grass）。对每张图像，系统输出检测集合</w:t>
      </w:r>
    </w:p>
    <w:p>
      <w:pPr>
        <w:spacing w:line="360" w:lineRule="auto"/>
        <w:ind w:firstLine="0"/>
        <w:jc w:val="center"/>
      </w:pPr>
      <w:r>
        <w:rPr>
          <w:rFonts w:ascii="Times New Roman" w:hAnsi="Times New Roman" w:eastAsia="宋体"/>
          <w:i/>
          <w:sz w:val="22"/>
        </w:rPr>
        <w:t>\mathcal{D}(I)=\{(b_i,c_i,s_i,r_i)\}_{i=1}^{M},</w:t>
      </w:r>
    </w:p>
    <w:p>
      <w:pPr>
        <w:spacing w:line="360" w:lineRule="auto"/>
        <w:ind w:firstLine="420"/>
      </w:pPr>
      <w:r>
        <w:rPr>
          <w:rFonts w:ascii="Times New Roman" w:hAnsi="Times New Roman" w:eastAsia="宋体"/>
          <w:sz w:val="24"/>
        </w:rPr>
        <w:t>其中 \(b_i\) 为边界框，\(c_i\) 为类别，\(s_i\) 为置信度，\(r_i\in\{\text{yolo},\text{sam}\}\) 表示框是否经 SAM 精炼。同时，系统输出质检结构 \(\mathcal{Q}\) 与中文报告 \(\mathcal{R}\)。约束为：</w:t>
      </w:r>
    </w:p>
    <w:p>
      <w:pPr>
        <w:pStyle w:val="ListBullet"/>
        <w:ind w:firstLine="0"/>
      </w:pPr>
      <w:r>
        <w:rPr>
          <w:rFonts w:ascii="Times New Roman" w:hAnsi="Times New Roman" w:eastAsia="宋体"/>
          <w:sz w:val="24"/>
        </w:rPr>
        <w:t>检测评价指标仅基于 \((b_i,c_i,s_i)\) 中由 YOLO 决定的 \(c_i,s_i\) 与最终框 \(b_i\) 计算时可分开报告“YOLO 原框”与“融合后框”的定位差异；</w:t>
      </w:r>
      <w:r>
        <w:rPr>
          <w:rFonts w:ascii="Times New Roman" w:hAnsi="Times New Roman" w:eastAsia="宋体"/>
          <w:b/>
          <w:sz w:val="24"/>
        </w:rPr>
        <w:t>分类指标以 YOLO 为准</w:t>
      </w:r>
      <w:r>
        <w:rPr>
          <w:rFonts w:ascii="Times New Roman" w:hAnsi="Times New Roman" w:eastAsia="宋体"/>
          <w:sz w:val="24"/>
        </w:rPr>
        <w:t>；</w:t>
      </w:r>
    </w:p>
    <w:p>
      <w:pPr>
        <w:pStyle w:val="ListBullet"/>
        <w:ind w:firstLine="0"/>
      </w:pPr>
      <w:r>
        <w:rPr>
          <w:rFonts w:ascii="Times New Roman" w:hAnsi="Times New Roman" w:eastAsia="宋体"/>
          <w:sz w:val="24"/>
        </w:rPr>
        <w:t>\(\mathcal{Q},\mathcal{R}\) 不得回写修改 \(\mathcal{D}\)。</w:t>
      </w:r>
    </w:p>
    <w:p>
      <w:pPr>
        <w:pStyle w:val="Heading3"/>
        <w:spacing w:before="240" w:after="120"/>
        <w:ind w:firstLine="0"/>
      </w:pPr>
      <w:r>
        <w:rPr>
          <w:rFonts w:ascii="Times New Roman" w:hAnsi="Times New Roman" w:eastAsia="黑体"/>
          <w:b/>
          <w:sz w:val="24"/>
        </w:rPr>
        <w:t>3.2 总体架构</w:t>
      </w:r>
    </w:p>
    <w:p>
      <w:pPr>
        <w:spacing w:line="360" w:lineRule="auto"/>
        <w:ind w:firstLine="420"/>
      </w:pPr>
      <w:r>
        <w:rPr>
          <w:rFonts w:ascii="Times New Roman" w:hAnsi="Times New Roman" w:eastAsia="宋体"/>
          <w:sz w:val="24"/>
        </w:rPr>
        <w:t>系统由四个阶段组成，形成可复现闭环：</w:t>
      </w:r>
    </w:p>
    <w:p>
      <w:pPr>
        <w:spacing w:line="360" w:lineRule="auto"/>
        <w:ind w:firstLine="420"/>
      </w:pPr>
      <w:r>
        <w:rPr>
          <w:rFonts w:ascii="Times New Roman" w:hAnsi="Times New Roman" w:eastAsia="宋体"/>
          <w:b/>
          <w:sz w:val="24"/>
        </w:rPr>
        <w:t>阶段 A：YOLO 初检。</w:t>
      </w:r>
      <w:r>
        <w:rPr>
          <w:rFonts w:ascii="Times New Roman" w:hAnsi="Times New Roman" w:eastAsia="宋体"/>
          <w:sz w:val="24"/>
        </w:rPr>
        <w:t xml:space="preserve"> 加载田间微调或预训练权重，对输入图像进行检测，得到初检列表（类别、置信度、xyxy 框），并导出 </w:t>
      </w:r>
      <w:r>
        <w:rPr>
          <w:rFonts w:ascii="Consolas" w:hAnsi="Consolas" w:eastAsia="宋体"/>
          <w:sz w:val="24"/>
        </w:rPr>
        <w:t>predictions_yolo.json</w:t>
      </w:r>
      <w:r>
        <w:rPr>
          <w:rFonts w:ascii="Times New Roman" w:hAnsi="Times New Roman" w:eastAsia="宋体"/>
          <w:sz w:val="24"/>
        </w:rPr>
        <w:t>。</w:t>
      </w:r>
    </w:p>
    <w:p>
      <w:pPr>
        <w:spacing w:line="360" w:lineRule="auto"/>
        <w:ind w:firstLine="420"/>
      </w:pPr>
      <w:r>
        <w:rPr>
          <w:rFonts w:ascii="Times New Roman" w:hAnsi="Times New Roman" w:eastAsia="宋体"/>
          <w:b/>
          <w:sz w:val="24"/>
        </w:rPr>
        <w:t>阶段 B：难例挖掘。</w:t>
      </w:r>
      <w:r>
        <w:rPr>
          <w:rFonts w:ascii="Times New Roman" w:hAnsi="Times New Roman" w:eastAsia="宋体"/>
          <w:sz w:val="24"/>
        </w:rPr>
        <w:t xml:space="preserve"> 复用初检结果，避免二次推理；对每张图计算难例分数与原因，导出 </w:t>
      </w:r>
      <w:r>
        <w:rPr>
          <w:rFonts w:ascii="Consolas" w:hAnsi="Consolas" w:eastAsia="宋体"/>
          <w:sz w:val="24"/>
        </w:rPr>
        <w:t>hard_examples.json</w:t>
      </w:r>
      <w:r>
        <w:rPr>
          <w:rFonts w:ascii="Times New Roman" w:hAnsi="Times New Roman" w:eastAsia="宋体"/>
          <w:sz w:val="24"/>
        </w:rPr>
        <w:t>。</w:t>
      </w:r>
    </w:p>
    <w:p>
      <w:pPr>
        <w:spacing w:line="360" w:lineRule="auto"/>
        <w:ind w:firstLine="420"/>
      </w:pPr>
      <w:r>
        <w:rPr>
          <w:rFonts w:ascii="Times New Roman" w:hAnsi="Times New Roman" w:eastAsia="宋体"/>
          <w:b/>
          <w:sz w:val="24"/>
        </w:rPr>
        <w:t>阶段 C：SAM 选择性精炼。</w:t>
      </w:r>
      <w:r>
        <w:rPr>
          <w:rFonts w:ascii="Times New Roman" w:hAnsi="Times New Roman" w:eastAsia="宋体"/>
          <w:sz w:val="24"/>
        </w:rPr>
        <w:t xml:space="preserve"> 对满足条件的框以 YOLO 框为 prompt 生成掩膜，提取外接矩形并写回；保存 </w:t>
      </w:r>
      <w:r>
        <w:rPr>
          <w:rFonts w:ascii="Consolas" w:hAnsi="Consolas" w:eastAsia="宋体"/>
          <w:sz w:val="24"/>
        </w:rPr>
        <w:t>labels_sam/</w:t>
      </w:r>
      <w:r>
        <w:rPr>
          <w:rFonts w:ascii="Times New Roman" w:hAnsi="Times New Roman" w:eastAsia="宋体"/>
          <w:sz w:val="24"/>
        </w:rPr>
        <w:t>、</w:t>
      </w:r>
      <w:r>
        <w:rPr>
          <w:rFonts w:ascii="Consolas" w:hAnsi="Consolas" w:eastAsia="宋体"/>
          <w:sz w:val="24"/>
        </w:rPr>
        <w:t>sam_masks/</w:t>
      </w:r>
      <w:r>
        <w:rPr>
          <w:rFonts w:ascii="Times New Roman" w:hAnsi="Times New Roman" w:eastAsia="宋体"/>
          <w:sz w:val="24"/>
        </w:rPr>
        <w:t xml:space="preserve"> 与合并后的 </w:t>
      </w:r>
      <w:r>
        <w:rPr>
          <w:rFonts w:ascii="Consolas" w:hAnsi="Consolas" w:eastAsia="宋体"/>
          <w:sz w:val="24"/>
        </w:rPr>
        <w:t>final_results.json</w:t>
      </w:r>
      <w:r>
        <w:rPr>
          <w:rFonts w:ascii="Times New Roman" w:hAnsi="Times New Roman" w:eastAsia="宋体"/>
          <w:sz w:val="24"/>
        </w:rPr>
        <w:t xml:space="preserve">、可视化 </w:t>
      </w:r>
      <w:r>
        <w:rPr>
          <w:rFonts w:ascii="Consolas" w:hAnsi="Consolas" w:eastAsia="宋体"/>
          <w:sz w:val="24"/>
        </w:rPr>
        <w:t>vis/</w:t>
      </w:r>
      <w:r>
        <w:rPr>
          <w:rFonts w:ascii="Times New Roman" w:hAnsi="Times New Roman" w:eastAsia="宋体"/>
          <w:sz w:val="24"/>
        </w:rPr>
        <w:t>。</w:t>
      </w:r>
    </w:p>
    <w:p>
      <w:pPr>
        <w:spacing w:line="360" w:lineRule="auto"/>
        <w:ind w:firstLine="420"/>
      </w:pPr>
      <w:r>
        <w:rPr>
          <w:rFonts w:ascii="Times New Roman" w:hAnsi="Times New Roman" w:eastAsia="宋体"/>
          <w:b/>
          <w:sz w:val="24"/>
        </w:rPr>
        <w:t>阶段 D：LLM 质检报告。</w:t>
      </w:r>
      <w:r>
        <w:rPr>
          <w:rFonts w:ascii="Times New Roman" w:hAnsi="Times New Roman" w:eastAsia="宋体"/>
          <w:sz w:val="24"/>
        </w:rPr>
        <w:t xml:space="preserve"> 汇总检测与难例摘要，调用 Chat Completions 接口，解析强制 JSON，写出 </w:t>
      </w:r>
      <w:r>
        <w:rPr>
          <w:rFonts w:ascii="Consolas" w:hAnsi="Consolas" w:eastAsia="宋体"/>
          <w:sz w:val="24"/>
        </w:rPr>
        <w:t>qc_report.json</w:t>
      </w:r>
      <w:r>
        <w:rPr>
          <w:rFonts w:ascii="Times New Roman" w:hAnsi="Times New Roman" w:eastAsia="宋体"/>
          <w:sz w:val="24"/>
        </w:rPr>
        <w:t xml:space="preserve"> 与 </w:t>
      </w:r>
      <w:r>
        <w:rPr>
          <w:rFonts w:ascii="Consolas" w:hAnsi="Consolas" w:eastAsia="宋体"/>
          <w:sz w:val="24"/>
        </w:rPr>
        <w:t>report.md</w:t>
      </w:r>
      <w:r>
        <w:rPr>
          <w:rFonts w:ascii="Times New Roman" w:hAnsi="Times New Roman" w:eastAsia="宋体"/>
          <w:sz w:val="24"/>
        </w:rPr>
        <w:t>。</w:t>
      </w:r>
    </w:p>
    <w:p>
      <w:pPr>
        <w:spacing w:line="360" w:lineRule="auto"/>
        <w:ind w:firstLine="420"/>
      </w:pPr>
      <w:r>
        <w:rPr>
          <w:rFonts w:ascii="Times New Roman" w:hAnsi="Times New Roman" w:eastAsia="宋体"/>
          <w:sz w:val="24"/>
        </w:rPr>
        <w:t xml:space="preserve">该流水线对应工程入口 </w:t>
      </w:r>
      <w:r>
        <w:rPr>
          <w:rFonts w:ascii="Consolas" w:hAnsi="Consolas" w:eastAsia="宋体"/>
          <w:sz w:val="24"/>
        </w:rPr>
        <w:t>main.py run</w:t>
      </w:r>
      <w:r>
        <w:rPr>
          <w:rFonts w:ascii="Times New Roman" w:hAnsi="Times New Roman" w:eastAsia="宋体"/>
          <w:sz w:val="24"/>
        </w:rPr>
        <w:t xml:space="preserve"> 与编排模块 </w:t>
      </w:r>
      <w:r>
        <w:rPr>
          <w:rFonts w:ascii="Consolas" w:hAnsi="Consolas" w:eastAsia="宋体"/>
          <w:sz w:val="24"/>
        </w:rPr>
        <w:t>src/pipeline/run.py</w:t>
      </w:r>
      <w:r>
        <w:rPr>
          <w:rFonts w:ascii="Times New Roman" w:hAnsi="Times New Roman" w:eastAsia="宋体"/>
          <w:sz w:val="24"/>
        </w:rPr>
        <w:t>。</w:t>
      </w:r>
    </w:p>
    <w:p>
      <w:pPr>
        <w:pStyle w:val="Heading3"/>
        <w:spacing w:before="240" w:after="120"/>
        <w:ind w:firstLine="0"/>
      </w:pPr>
      <w:r>
        <w:rPr>
          <w:rFonts w:ascii="Times New Roman" w:hAnsi="Times New Roman" w:eastAsia="黑体"/>
          <w:b/>
          <w:sz w:val="24"/>
        </w:rPr>
        <w:t>3.3 YOLO 检测主干</w:t>
      </w:r>
    </w:p>
    <w:p>
      <w:pPr>
        <w:spacing w:line="360" w:lineRule="auto"/>
        <w:ind w:firstLine="420"/>
      </w:pPr>
      <w:r>
        <w:rPr>
          <w:rFonts w:ascii="Times New Roman" w:hAnsi="Times New Roman" w:eastAsia="宋体"/>
          <w:sz w:val="24"/>
        </w:rPr>
        <w:t>采用 Ultralytics YOLO（默认 YOLOv8s，可替换为 YOLO11 等）作为检测器。训练数据采用标准 YOLO 格式：</w:t>
      </w:r>
    </w:p>
    <w:p>
      <w:pPr>
        <w:pStyle w:val="ListBullet"/>
        <w:ind w:firstLine="0"/>
      </w:pPr>
      <w:r>
        <w:rPr>
          <w:rFonts w:ascii="Times New Roman" w:hAnsi="Times New Roman" w:eastAsia="宋体"/>
          <w:sz w:val="24"/>
        </w:rPr>
        <w:t>图像：</w:t>
      </w:r>
      <w:r>
        <w:rPr>
          <w:rFonts w:ascii="Consolas" w:hAnsi="Consolas" w:eastAsia="宋体"/>
          <w:sz w:val="24"/>
        </w:rPr>
        <w:t>data/images/{train,val,test}/</w:t>
      </w:r>
    </w:p>
    <w:p>
      <w:pPr>
        <w:pStyle w:val="ListBullet"/>
        <w:ind w:firstLine="0"/>
      </w:pPr>
      <w:r>
        <w:rPr>
          <w:rFonts w:ascii="Times New Roman" w:hAnsi="Times New Roman" w:eastAsia="宋体"/>
          <w:sz w:val="24"/>
        </w:rPr>
        <w:t>标签：</w:t>
      </w:r>
      <w:r>
        <w:rPr>
          <w:rFonts w:ascii="Consolas" w:hAnsi="Consolas" w:eastAsia="宋体"/>
          <w:sz w:val="24"/>
        </w:rPr>
        <w:t>data/labels/{train,val,test}/</w:t>
      </w:r>
      <w:r>
        <w:rPr>
          <w:rFonts w:ascii="Times New Roman" w:hAnsi="Times New Roman" w:eastAsia="宋体"/>
          <w:sz w:val="24"/>
        </w:rPr>
        <w:t xml:space="preserve">，同名 </w:t>
      </w:r>
      <w:r>
        <w:rPr>
          <w:rFonts w:ascii="Consolas" w:hAnsi="Consolas" w:eastAsia="宋体"/>
          <w:sz w:val="24"/>
        </w:rPr>
        <w:t>.txt</w:t>
      </w:r>
    </w:p>
    <w:p>
      <w:pPr>
        <w:pStyle w:val="ListBullet"/>
        <w:ind w:firstLine="0"/>
      </w:pPr>
      <w:r>
        <w:rPr>
          <w:rFonts w:ascii="Times New Roman" w:hAnsi="Times New Roman" w:eastAsia="宋体"/>
          <w:sz w:val="24"/>
        </w:rPr>
        <w:t>每行：</w:t>
      </w:r>
      <w:r>
        <w:rPr>
          <w:rFonts w:ascii="Consolas" w:hAnsi="Consolas" w:eastAsia="宋体"/>
          <w:sz w:val="24"/>
        </w:rPr>
        <w:t>class_id cx cy w h</w:t>
      </w:r>
      <w:r>
        <w:rPr>
          <w:rFonts w:ascii="Times New Roman" w:hAnsi="Times New Roman" w:eastAsia="宋体"/>
          <w:sz w:val="24"/>
        </w:rPr>
        <w:t>（相对图像宽高归一化到 \([0,1]\)）</w:t>
      </w:r>
    </w:p>
    <w:p>
      <w:pPr>
        <w:spacing w:line="360" w:lineRule="auto"/>
        <w:ind w:firstLine="420"/>
      </w:pPr>
      <w:r>
        <w:rPr>
          <w:rFonts w:ascii="Times New Roman" w:hAnsi="Times New Roman" w:eastAsia="宋体"/>
          <w:sz w:val="24"/>
        </w:rPr>
        <w:t>类别编号在配置中连续定义，例如：</w:t>
      </w:r>
    </w:p>
    <w:p>
      <w:pPr>
        <w:spacing w:line="360" w:lineRule="auto"/>
        <w:ind w:firstLine="0"/>
        <w:jc w:val="center"/>
      </w:pPr>
      <w:r>
        <w:rPr>
          <w:rFonts w:ascii="Times New Roman" w:hAnsi="Times New Roman" w:eastAsia="宋体"/>
          <w:i/>
          <w:sz w:val="22"/>
        </w:rPr>
        <w:t>0:\ \text{maize},\quad 1:\ \text{broadleaf},\quad 2:\ \text{grass}.</w:t>
      </w:r>
    </w:p>
    <w:p>
      <w:pPr>
        <w:spacing w:line="360" w:lineRule="auto"/>
        <w:ind w:firstLine="420"/>
      </w:pPr>
      <w:r>
        <w:rPr>
          <w:rFonts w:ascii="Times New Roman" w:hAnsi="Times New Roman" w:eastAsia="宋体"/>
          <w:sz w:val="24"/>
        </w:rPr>
        <w:t xml:space="preserve">需要特别注意：若标注工具（如 Label Studio）导出的 </w:t>
      </w:r>
      <w:r>
        <w:rPr>
          <w:rFonts w:ascii="Consolas" w:hAnsi="Consolas" w:eastAsia="宋体"/>
          <w:sz w:val="24"/>
        </w:rPr>
        <w:t>classes.txt</w:t>
      </w:r>
      <w:r>
        <w:rPr>
          <w:rFonts w:ascii="Times New Roman" w:hAnsi="Times New Roman" w:eastAsia="宋体"/>
          <w:sz w:val="24"/>
        </w:rPr>
        <w:t xml:space="preserve"> 顺序与训练配置不一致，必须统一映射，否则类别语义错位将直接导致指标失效。推理阶段默认置信度阈值 \(\tau_{\text{conf}}=0.25\)、NMS IoU 阈值 \(0.45\)、输入尺度 \(640\times640\)。设备选择遵循 CUDA → MPS → CPU 的自动降级策略，便于实验室服务器与本地 Mac 开发环境切换。</w:t>
      </w:r>
    </w:p>
    <w:p>
      <w:pPr>
        <w:spacing w:line="360" w:lineRule="auto"/>
        <w:ind w:firstLine="420"/>
      </w:pPr>
      <w:r>
        <w:rPr>
          <w:rFonts w:ascii="Times New Roman" w:hAnsi="Times New Roman" w:eastAsia="宋体"/>
          <w:sz w:val="24"/>
        </w:rPr>
        <w:t>YOLO 在本框架中的角色被明确为：</w:t>
      </w:r>
      <w:r>
        <w:rPr>
          <w:rFonts w:ascii="Times New Roman" w:hAnsi="Times New Roman" w:eastAsia="宋体"/>
          <w:b/>
          <w:sz w:val="24"/>
        </w:rPr>
        <w:t>位置初估 + 类别判别 + 置信度校准信号源</w:t>
      </w:r>
      <w:r>
        <w:rPr>
          <w:rFonts w:ascii="Times New Roman" w:hAnsi="Times New Roman" w:eastAsia="宋体"/>
          <w:sz w:val="24"/>
        </w:rPr>
        <w:t>。后续模块可以改善框几何或解释结果，但不得静默篡改 YOLO 的类别决策用于“刷高”业务展示而不改验收口径。</w:t>
      </w:r>
    </w:p>
    <w:p>
      <w:pPr>
        <w:pStyle w:val="Heading3"/>
        <w:spacing w:before="240" w:after="120"/>
        <w:ind w:firstLine="0"/>
      </w:pPr>
      <w:r>
        <w:rPr>
          <w:rFonts w:ascii="Times New Roman" w:hAnsi="Times New Roman" w:eastAsia="黑体"/>
          <w:b/>
          <w:sz w:val="24"/>
        </w:rPr>
        <w:t>3.4 难例评分与筛选</w:t>
      </w:r>
    </w:p>
    <w:p>
      <w:pPr>
        <w:spacing w:line="360" w:lineRule="auto"/>
        <w:ind w:firstLine="420"/>
      </w:pPr>
      <w:r>
        <w:rPr>
          <w:rFonts w:ascii="Times New Roman" w:hAnsi="Times New Roman" w:eastAsia="宋体"/>
          <w:sz w:val="24"/>
        </w:rPr>
        <w:t>对图像 \(I\) 的检测集合 \(\mathcal{D}\)，设置信度集合为 \(\{s_i\}\)。定义不确定区间 \([\ell,h)=[0.25,0.6)\)（可配置）。统计：</w:t>
      </w:r>
    </w:p>
    <w:p>
      <w:pPr>
        <w:pStyle w:val="ListBullet"/>
        <w:ind w:firstLine="0"/>
      </w:pPr>
      <w:r>
        <w:rPr>
          <w:rFonts w:ascii="Times New Roman" w:hAnsi="Times New Roman" w:eastAsia="宋体"/>
          <w:sz w:val="24"/>
        </w:rPr>
        <w:t>不确定框数 \(U=\lvert\{i\mid \ell\le s_i&lt;h\}\rvert\)</w:t>
      </w:r>
    </w:p>
    <w:p>
      <w:pPr>
        <w:pStyle w:val="ListBullet"/>
        <w:ind w:firstLine="0"/>
      </w:pPr>
      <w:r>
        <w:rPr>
          <w:rFonts w:ascii="Times New Roman" w:hAnsi="Times New Roman" w:eastAsia="宋体"/>
          <w:sz w:val="24"/>
        </w:rPr>
        <w:t>低置信框数 \(L=\lvert\{i\mid s_i&lt;\ell\}\rvert\)</w:t>
      </w:r>
    </w:p>
    <w:p>
      <w:pPr>
        <w:pStyle w:val="ListBullet"/>
        <w:ind w:firstLine="0"/>
      </w:pPr>
      <w:r>
        <w:rPr>
          <w:rFonts w:ascii="Times New Roman" w:hAnsi="Times New Roman" w:eastAsia="宋体"/>
          <w:sz w:val="24"/>
        </w:rPr>
        <w:t>拥挤标志 \(D=\mathbb{I}[\lvert\mathcal{D}\rvert\ge 8]\)</w:t>
      </w:r>
    </w:p>
    <w:p>
      <w:pPr>
        <w:spacing w:line="360" w:lineRule="auto"/>
        <w:ind w:firstLine="420"/>
      </w:pPr>
      <w:r>
        <w:rPr>
          <w:rFonts w:ascii="Times New Roman" w:hAnsi="Times New Roman" w:eastAsia="宋体"/>
          <w:sz w:val="24"/>
        </w:rPr>
        <w:t>难例分数定义为</w:t>
      </w:r>
    </w:p>
    <w:p>
      <w:pPr>
        <w:spacing w:line="360" w:lineRule="auto"/>
        <w:ind w:firstLine="0"/>
        <w:jc w:val="center"/>
      </w:pPr>
      <w:r>
        <w:rPr>
          <w:rFonts w:ascii="Times New Roman" w:hAnsi="Times New Roman" w:eastAsia="宋体"/>
          <w:i/>
          <w:sz w:val="22"/>
        </w:rPr>
        <w:t>H(I)=1.0\cdot U+0.5\cdot L+2.0\cdot D.</w:t>
      </w:r>
    </w:p>
    <w:p>
      <w:pPr>
        <w:spacing w:line="360" w:lineRule="auto"/>
        <w:ind w:firstLine="420"/>
      </w:pPr>
      <w:r>
        <w:rPr>
          <w:rFonts w:ascii="Times New Roman" w:hAnsi="Times New Roman" w:eastAsia="宋体"/>
          <w:sz w:val="24"/>
        </w:rPr>
        <w:t>当 \(H(I)\ge \theta_H\)（默认 \(\theta_H=0.45\)）时，将该图标记为</w:t>
      </w:r>
      <w:r>
        <w:rPr>
          <w:rFonts w:ascii="Times New Roman" w:hAnsi="Times New Roman" w:eastAsia="宋体"/>
          <w:b/>
          <w:sz w:val="24"/>
        </w:rPr>
        <w:t>难例图</w:t>
      </w:r>
      <w:r>
        <w:rPr>
          <w:rFonts w:ascii="Times New Roman" w:hAnsi="Times New Roman" w:eastAsia="宋体"/>
          <w:sz w:val="24"/>
        </w:rPr>
        <w:t>。对单框，若 \(s_i\in[\ell,h)\)，则标记为</w:t>
      </w:r>
      <w:r>
        <w:rPr>
          <w:rFonts w:ascii="Times New Roman" w:hAnsi="Times New Roman" w:eastAsia="宋体"/>
          <w:b/>
          <w:sz w:val="24"/>
        </w:rPr>
        <w:t>不确定框</w:t>
      </w:r>
      <w:r>
        <w:rPr>
          <w:rFonts w:ascii="Times New Roman" w:hAnsi="Times New Roman" w:eastAsia="宋体"/>
          <w:sz w:val="24"/>
        </w:rPr>
        <w:t>。SAM 触发规则为：</w:t>
      </w:r>
    </w:p>
    <w:p>
      <w:pPr>
        <w:spacing w:line="360" w:lineRule="auto"/>
        <w:ind w:firstLine="0"/>
        <w:jc w:val="center"/>
      </w:pPr>
      <w:r>
        <w:rPr>
          <w:rFonts w:ascii="Times New Roman" w:hAnsi="Times New Roman" w:eastAsia="宋体"/>
          <w:i/>
          <w:sz w:val="22"/>
        </w:rPr>
        <w:t>\text{Refine}(i)=\mathbb{I}[s_i\in[\ell,h)]\ \lor\ \mathbb{I}[H(I)\ge\theta_H].</w:t>
      </w:r>
    </w:p>
    <w:p>
      <w:pPr>
        <w:spacing w:line="360" w:lineRule="auto"/>
        <w:ind w:firstLine="420"/>
      </w:pPr>
      <w:r>
        <w:rPr>
          <w:rFonts w:ascii="Times New Roman" w:hAnsi="Times New Roman" w:eastAsia="宋体"/>
          <w:sz w:val="24"/>
        </w:rPr>
        <w:t>即：不确定框必精炼；难例图上的全部框尝试精炼。对“完全无检测”的图像，打分返回 \(H=0\) 并给出“可能漏检”原因，建议人工抽检；但默认不因空检自动调用 SAM（因缺乏有效 box prompt）。这一设计把漏检问题留给质检与人工复核，而不是用分割模型空想目标。</w:t>
      </w:r>
    </w:p>
    <w:p>
      <w:pPr>
        <w:spacing w:line="360" w:lineRule="auto"/>
        <w:ind w:firstLine="420"/>
      </w:pPr>
      <w:r>
        <w:rPr>
          <w:rFonts w:ascii="Times New Roman" w:hAnsi="Times New Roman" w:eastAsia="宋体"/>
          <w:sz w:val="24"/>
        </w:rPr>
        <w:t>难例机制的直观含义是：把计算预算从“模型已经很确定的简单图”转移到“模型正在犹豫或场景拥挤”的样本上，这与主动学习中的不确定性采样一致，但形式更简单、阈值可与农艺人员共同解释。</w:t>
      </w:r>
    </w:p>
    <w:p>
      <w:pPr>
        <w:pStyle w:val="Heading3"/>
        <w:spacing w:before="240" w:after="120"/>
        <w:ind w:firstLine="0"/>
      </w:pPr>
      <w:r>
        <w:rPr>
          <w:rFonts w:ascii="Times New Roman" w:hAnsi="Times New Roman" w:eastAsia="黑体"/>
          <w:b/>
          <w:sz w:val="24"/>
        </w:rPr>
        <w:t>3.5 SAM 框提示精炼与回写</w:t>
      </w:r>
    </w:p>
    <w:p>
      <w:pPr>
        <w:spacing w:line="360" w:lineRule="auto"/>
        <w:ind w:firstLine="420"/>
      </w:pPr>
      <w:r>
        <w:rPr>
          <w:rFonts w:ascii="Times New Roman" w:hAnsi="Times New Roman" w:eastAsia="宋体"/>
          <w:sz w:val="24"/>
        </w:rPr>
        <w:t>对需要精炼的检测框 \(b^{\text{yolo}}\)，加载 SAM（默认 ViT-B 权重）并以该框为 prompt 生成二值掩膜 \(m\)（</w:t>
      </w:r>
      <w:r>
        <w:rPr>
          <w:rFonts w:ascii="Consolas" w:hAnsi="Consolas" w:eastAsia="宋体"/>
          <w:sz w:val="24"/>
        </w:rPr>
        <w:t>multimask_output=False</w:t>
      </w:r>
      <w:r>
        <w:rPr>
          <w:rFonts w:ascii="Times New Roman" w:hAnsi="Times New Roman" w:eastAsia="宋体"/>
          <w:sz w:val="24"/>
        </w:rPr>
        <w:t>）。若掩膜有效且面积超过最小阈值，则计算其轴对齐外接矩形 \(b^{\text{sam}}\)，并用其替换原框；同时记录 SAM 内部分数（如可用）与掩膜可视化。若精炼失败，则保留 YOLO 原框。</w:t>
      </w:r>
    </w:p>
    <w:p>
      <w:pPr>
        <w:spacing w:line="360" w:lineRule="auto"/>
        <w:ind w:firstLine="420"/>
      </w:pPr>
      <w:r>
        <w:rPr>
          <w:rFonts w:ascii="Times New Roman" w:hAnsi="Times New Roman" w:eastAsia="宋体"/>
          <w:b/>
          <w:sz w:val="24"/>
        </w:rPr>
        <w:t>框级融合规则（可直接复述）：</w:t>
      </w:r>
    </w:p>
    <w:p>
      <w:pPr>
        <w:pStyle w:val="ListBullet"/>
        <w:ind w:firstLine="0"/>
      </w:pPr>
      <w:r>
        <w:rPr>
          <w:rFonts w:ascii="Times New Roman" w:hAnsi="Times New Roman" w:eastAsia="宋体"/>
          <w:sz w:val="24"/>
        </w:rPr>
        <w:t>类别 \(c_i\)：始终取 YOLO；</w:t>
      </w:r>
    </w:p>
    <w:p>
      <w:pPr>
        <w:pStyle w:val="ListBullet"/>
        <w:ind w:firstLine="0"/>
      </w:pPr>
      <w:r>
        <w:rPr>
          <w:rFonts w:ascii="Times New Roman" w:hAnsi="Times New Roman" w:eastAsia="宋体"/>
          <w:sz w:val="24"/>
        </w:rPr>
        <w:t>置信度 \(s_i\)：始终取 YOLO；</w:t>
      </w:r>
    </w:p>
    <w:p>
      <w:pPr>
        <w:pStyle w:val="ListBullet"/>
        <w:ind w:firstLine="0"/>
      </w:pPr>
      <w:r>
        <w:rPr>
          <w:rFonts w:ascii="Times New Roman" w:hAnsi="Times New Roman" w:eastAsia="宋体"/>
          <w:sz w:val="24"/>
        </w:rPr>
        <w:t>框 \(b_i\)：若该框被选中且 SAM 成功，则 \(b_i=b^{\text{sam}}\)，否则 \(b_i=b^{\text{yolo}}\)；</w:t>
      </w:r>
    </w:p>
    <w:p>
      <w:pPr>
        <w:pStyle w:val="ListBullet"/>
        <w:ind w:firstLine="0"/>
      </w:pPr>
      <w:r>
        <w:rPr>
          <w:rFonts w:ascii="Times New Roman" w:hAnsi="Times New Roman" w:eastAsia="宋体"/>
          <w:sz w:val="24"/>
        </w:rPr>
        <w:t>溯源标记 \(r_i\in\{\text{yolo},\text{sam}\}\)。</w:t>
      </w:r>
    </w:p>
    <w:p>
      <w:pPr>
        <w:spacing w:line="360" w:lineRule="auto"/>
        <w:ind w:firstLine="420"/>
      </w:pPr>
      <w:r>
        <w:rPr>
          <w:rFonts w:ascii="Times New Roman" w:hAnsi="Times New Roman" w:eastAsia="宋体"/>
          <w:sz w:val="24"/>
        </w:rPr>
        <w:t xml:space="preserve">将精炼后的框按 YOLO 归一化格式写入 </w:t>
      </w:r>
      <w:r>
        <w:rPr>
          <w:rFonts w:ascii="Consolas" w:hAnsi="Consolas" w:eastAsia="宋体"/>
          <w:sz w:val="24"/>
        </w:rPr>
        <w:t>labels_sam/*.txt</w:t>
      </w:r>
      <w:r>
        <w:rPr>
          <w:rFonts w:ascii="Times New Roman" w:hAnsi="Times New Roman" w:eastAsia="宋体"/>
          <w:sz w:val="24"/>
        </w:rPr>
        <w:t>，可回灌 Label Studio 或本地标注库，形成“检测 → 难例精炼 → 人工确认 → 再训练”的数据飞轮。可视化中可用不同颜色区分 YOLO 原框与 SAM 精炼框，便于质检人员快速审阅。</w:t>
      </w:r>
    </w:p>
    <w:p>
      <w:pPr>
        <w:spacing w:line="360" w:lineRule="auto"/>
        <w:ind w:firstLine="420"/>
      </w:pPr>
      <w:r>
        <w:rPr>
          <w:rFonts w:ascii="Times New Roman" w:hAnsi="Times New Roman" w:eastAsia="宋体"/>
          <w:sz w:val="24"/>
        </w:rPr>
        <w:t>从方法角度看，该步骤把 SAM 当作</w:t>
      </w:r>
      <w:r>
        <w:rPr>
          <w:rFonts w:ascii="Times New Roman" w:hAnsi="Times New Roman" w:eastAsia="宋体"/>
          <w:b/>
          <w:sz w:val="24"/>
        </w:rPr>
        <w:t>条件几何校正器</w:t>
      </w:r>
      <w:r>
        <w:rPr>
          <w:rFonts w:ascii="Times New Roman" w:hAnsi="Times New Roman" w:eastAsia="宋体"/>
          <w:sz w:val="24"/>
        </w:rPr>
        <w:t>：输入是检测器给出的空间假设，输出是更贴合实例的轮廓投影框。由于类别锁定，精炼不会把“玉米”改成“杂草”，从而避免分割误差污染分类评价。</w:t>
      </w:r>
    </w:p>
    <w:p>
      <w:pPr>
        <w:pStyle w:val="Heading3"/>
        <w:spacing w:before="240" w:after="120"/>
        <w:ind w:firstLine="0"/>
      </w:pPr>
      <w:r>
        <w:rPr>
          <w:rFonts w:ascii="Times New Roman" w:hAnsi="Times New Roman" w:eastAsia="黑体"/>
          <w:b/>
          <w:sz w:val="24"/>
        </w:rPr>
        <w:t>3.6 LLM 结构化质检与报告生成</w:t>
      </w:r>
    </w:p>
    <w:p>
      <w:pPr>
        <w:spacing w:line="360" w:lineRule="auto"/>
        <w:ind w:firstLine="420"/>
      </w:pPr>
      <w:r>
        <w:rPr>
          <w:rFonts w:ascii="Times New Roman" w:hAnsi="Times New Roman" w:eastAsia="宋体"/>
          <w:sz w:val="24"/>
        </w:rPr>
        <w:t>在得到 YOLO 初检、难例清单与最终融合结果后，系统构造结构化摘要，字段包括：图像数量、总检测数、类别统计、难例图像列表（截断前 50）、每图统计（截断前 100）等。摘要</w:t>
      </w:r>
      <w:r>
        <w:rPr>
          <w:rFonts w:ascii="Times New Roman" w:hAnsi="Times New Roman" w:eastAsia="宋体"/>
          <w:b/>
          <w:sz w:val="24"/>
        </w:rPr>
        <w:t>不包含原图像素</w:t>
      </w:r>
      <w:r>
        <w:rPr>
          <w:rFonts w:ascii="Times New Roman" w:hAnsi="Times New Roman" w:eastAsia="宋体"/>
          <w:sz w:val="24"/>
        </w:rPr>
        <w:t>，以降低带宽、保护隐私，并减少多模态幻觉面。</w:t>
      </w:r>
    </w:p>
    <w:p>
      <w:pPr>
        <w:spacing w:line="360" w:lineRule="auto"/>
        <w:ind w:firstLine="420"/>
      </w:pPr>
      <w:r>
        <w:rPr>
          <w:rFonts w:ascii="Times New Roman" w:hAnsi="Times New Roman" w:eastAsia="宋体"/>
          <w:sz w:val="24"/>
        </w:rPr>
        <w:t xml:space="preserve">LLM（默认 DeepSeek </w:t>
      </w:r>
      <w:r>
        <w:rPr>
          <w:rFonts w:ascii="Consolas" w:hAnsi="Consolas" w:eastAsia="宋体"/>
          <w:sz w:val="24"/>
        </w:rPr>
        <w:t>deepseek-chat</w:t>
      </w:r>
      <w:r>
        <w:rPr>
          <w:rFonts w:ascii="Times New Roman" w:hAnsi="Times New Roman" w:eastAsia="宋体"/>
          <w:sz w:val="24"/>
        </w:rPr>
        <w:t>，可替换兼容 OpenAI 协议的模型）在系统提示中被约束为“田间质检助手”，要求：</w:t>
      </w:r>
    </w:p>
    <w:p>
      <w:pPr>
        <w:pStyle w:val="ListBullet"/>
        <w:ind w:firstLine="0"/>
      </w:pPr>
      <w:r>
        <w:rPr>
          <w:rFonts w:ascii="Times New Roman" w:hAnsi="Times New Roman" w:eastAsia="宋体"/>
          <w:sz w:val="24"/>
        </w:rPr>
        <w:t>不得编造坐标或类别；</w:t>
      </w:r>
    </w:p>
    <w:p>
      <w:pPr>
        <w:pStyle w:val="ListBullet"/>
        <w:ind w:firstLine="0"/>
      </w:pPr>
      <w:r>
        <w:rPr>
          <w:rFonts w:ascii="Times New Roman" w:hAnsi="Times New Roman" w:eastAsia="宋体"/>
          <w:sz w:val="24"/>
        </w:rPr>
        <w:t>只能基于给定摘要做风险归纳与建议；</w:t>
      </w:r>
    </w:p>
    <w:p>
      <w:pPr>
        <w:pStyle w:val="ListBullet"/>
        <w:ind w:firstLine="0"/>
      </w:pPr>
      <w:r>
        <w:rPr>
          <w:rFonts w:ascii="Times New Roman" w:hAnsi="Times New Roman" w:eastAsia="宋体"/>
          <w:sz w:val="24"/>
        </w:rPr>
        <w:t xml:space="preserve">输出必须可解析为 JSON，包含 </w:t>
      </w:r>
      <w:r>
        <w:rPr>
          <w:rFonts w:ascii="Consolas" w:hAnsi="Consolas" w:eastAsia="宋体"/>
          <w:sz w:val="24"/>
        </w:rPr>
        <w:t>qc</w:t>
      </w:r>
      <w:r>
        <w:rPr>
          <w:rFonts w:ascii="Times New Roman" w:hAnsi="Times New Roman" w:eastAsia="宋体"/>
          <w:sz w:val="24"/>
        </w:rPr>
        <w:t xml:space="preserve"> 与 </w:t>
      </w:r>
      <w:r>
        <w:rPr>
          <w:rFonts w:ascii="Consolas" w:hAnsi="Consolas" w:eastAsia="宋体"/>
          <w:sz w:val="24"/>
        </w:rPr>
        <w:t>report_md</w:t>
      </w:r>
      <w:r>
        <w:rPr>
          <w:rFonts w:ascii="Times New Roman" w:hAnsi="Times New Roman" w:eastAsia="宋体"/>
          <w:sz w:val="24"/>
        </w:rPr>
        <w:t>；</w:t>
      </w:r>
    </w:p>
    <w:p>
      <w:pPr>
        <w:pStyle w:val="ListBullet"/>
        <w:ind w:firstLine="0"/>
      </w:pPr>
      <w:r>
        <w:rPr>
          <w:rFonts w:ascii="Consolas" w:hAnsi="Consolas" w:eastAsia="宋体"/>
          <w:sz w:val="24"/>
        </w:rPr>
        <w:t>qc</w:t>
      </w:r>
      <w:r>
        <w:rPr>
          <w:rFonts w:ascii="Times New Roman" w:hAnsi="Times New Roman" w:eastAsia="宋体"/>
          <w:sz w:val="24"/>
        </w:rPr>
        <w:t xml:space="preserve"> 含 </w:t>
      </w:r>
      <w:r>
        <w:rPr>
          <w:rFonts w:ascii="Consolas" w:hAnsi="Consolas" w:eastAsia="宋体"/>
          <w:sz w:val="24"/>
        </w:rPr>
        <w:t>suspicious_images</w:t>
      </w:r>
      <w:r>
        <w:rPr>
          <w:rFonts w:ascii="Times New Roman" w:hAnsi="Times New Roman" w:eastAsia="宋体"/>
          <w:sz w:val="24"/>
        </w:rPr>
        <w:t>、</w:t>
      </w:r>
      <w:r>
        <w:rPr>
          <w:rFonts w:ascii="Consolas" w:hAnsi="Consolas" w:eastAsia="宋体"/>
          <w:sz w:val="24"/>
        </w:rPr>
        <w:t>risk_points</w:t>
      </w:r>
      <w:r>
        <w:rPr>
          <w:rFonts w:ascii="Times New Roman" w:hAnsi="Times New Roman" w:eastAsia="宋体"/>
          <w:sz w:val="24"/>
        </w:rPr>
        <w:t>、</w:t>
      </w:r>
      <w:r>
        <w:rPr>
          <w:rFonts w:ascii="Consolas" w:hAnsi="Consolas" w:eastAsia="宋体"/>
          <w:sz w:val="24"/>
        </w:rPr>
        <w:t>review_suggestions</w:t>
      </w:r>
      <w:r>
        <w:rPr>
          <w:rFonts w:ascii="Times New Roman" w:hAnsi="Times New Roman" w:eastAsia="宋体"/>
          <w:sz w:val="24"/>
        </w:rPr>
        <w:t xml:space="preserve"> 等字段；</w:t>
      </w:r>
    </w:p>
    <w:p>
      <w:pPr>
        <w:pStyle w:val="ListBullet"/>
        <w:ind w:firstLine="0"/>
      </w:pPr>
      <w:r>
        <w:rPr>
          <w:rFonts w:ascii="Consolas" w:hAnsi="Consolas" w:eastAsia="宋体"/>
          <w:sz w:val="24"/>
        </w:rPr>
        <w:t>report_md</w:t>
      </w:r>
      <w:r>
        <w:rPr>
          <w:rFonts w:ascii="Times New Roman" w:hAnsi="Times New Roman" w:eastAsia="宋体"/>
          <w:sz w:val="24"/>
        </w:rPr>
        <w:t xml:space="preserve"> 为中文 Markdown，覆盖检测概况、类别统计、风险与农事建议。</w:t>
      </w:r>
    </w:p>
    <w:p>
      <w:pPr>
        <w:spacing w:line="360" w:lineRule="auto"/>
        <w:ind w:firstLine="420"/>
      </w:pPr>
      <w:r>
        <w:rPr>
          <w:rFonts w:ascii="Times New Roman" w:hAnsi="Times New Roman" w:eastAsia="宋体"/>
          <w:sz w:val="24"/>
        </w:rPr>
        <w:t>解码温度设为较低值（如 \(0.2\)），并兼容纯 JSON 与代码块包裹的 JSON。解析失败时记录错误而不中断视觉链路，保证检测主路径稳健。</w:t>
      </w:r>
    </w:p>
    <w:p>
      <w:pPr>
        <w:spacing w:line="360" w:lineRule="auto"/>
        <w:ind w:firstLine="420"/>
      </w:pPr>
      <w:r>
        <w:rPr>
          <w:rFonts w:ascii="Times New Roman" w:hAnsi="Times New Roman" w:eastAsia="宋体"/>
          <w:sz w:val="24"/>
        </w:rPr>
        <w:t>该设计的关键原则是：</w:t>
      </w:r>
      <w:r>
        <w:rPr>
          <w:rFonts w:ascii="Times New Roman" w:hAnsi="Times New Roman" w:eastAsia="宋体"/>
          <w:b/>
          <w:sz w:val="24"/>
        </w:rPr>
        <w:t>语言层服务解释与流程质检，视觉层服务可度量感知</w:t>
      </w:r>
      <w:r>
        <w:rPr>
          <w:rFonts w:ascii="Times New Roman" w:hAnsi="Times New Roman" w:eastAsia="宋体"/>
          <w:sz w:val="24"/>
        </w:rPr>
        <w:t>。对学术评价而言，可单独报告 LLM 质检与人工审核的一致率、可疑图召回率与报告可用性评分，而不将其混入 mAP。</w:t>
      </w:r>
    </w:p>
    <w:p>
      <w:pPr>
        <w:pStyle w:val="Heading3"/>
        <w:spacing w:before="240" w:after="120"/>
        <w:ind w:firstLine="0"/>
      </w:pPr>
      <w:r>
        <w:rPr>
          <w:rFonts w:ascii="Times New Roman" w:hAnsi="Times New Roman" w:eastAsia="黑体"/>
          <w:b/>
          <w:sz w:val="24"/>
        </w:rPr>
        <w:t>3.7 半自动标注与再训练闭环</w:t>
      </w:r>
    </w:p>
    <w:p>
      <w:pPr>
        <w:spacing w:line="360" w:lineRule="auto"/>
        <w:ind w:firstLine="420"/>
      </w:pPr>
      <w:r>
        <w:rPr>
          <w:rFonts w:ascii="Times New Roman" w:hAnsi="Times New Roman" w:eastAsia="宋体"/>
          <w:sz w:val="24"/>
        </w:rPr>
        <w:t>完整业务闭环建议如下：</w:t>
      </w:r>
    </w:p>
    <w:p>
      <w:pPr>
        <w:pStyle w:val="ListBullet"/>
        <w:ind w:firstLine="0"/>
      </w:pPr>
      <w:r>
        <w:rPr>
          <w:rFonts w:ascii="Times New Roman" w:hAnsi="Times New Roman" w:eastAsia="宋体"/>
          <w:sz w:val="24"/>
        </w:rPr>
        <w:t>采集田间苗期图像，按地块/日期分层；</w:t>
      </w:r>
    </w:p>
    <w:p>
      <w:pPr>
        <w:pStyle w:val="ListBullet"/>
        <w:ind w:firstLine="0"/>
      </w:pPr>
      <w:r>
        <w:rPr>
          <w:rFonts w:ascii="Times New Roman" w:hAnsi="Times New Roman" w:eastAsia="宋体"/>
          <w:sz w:val="24"/>
        </w:rPr>
        <w:t>使用 Label Studio 等工具完成 YOLO 格式标注，严格对齐类别顺序；</w:t>
      </w:r>
    </w:p>
    <w:p>
      <w:pPr>
        <w:pStyle w:val="ListBullet"/>
        <w:ind w:firstLine="0"/>
      </w:pPr>
      <w:r>
        <w:rPr>
          <w:rFonts w:ascii="Times New Roman" w:hAnsi="Times New Roman" w:eastAsia="宋体"/>
          <w:sz w:val="24"/>
        </w:rPr>
        <w:t xml:space="preserve">训练 YOLO，得到 </w:t>
      </w:r>
      <w:r>
        <w:rPr>
          <w:rFonts w:ascii="Consolas" w:hAnsi="Consolas" w:eastAsia="宋体"/>
          <w:sz w:val="24"/>
        </w:rPr>
        <w:t>best.pt</w:t>
      </w:r>
      <w:r>
        <w:rPr>
          <w:rFonts w:ascii="Times New Roman" w:hAnsi="Times New Roman" w:eastAsia="宋体"/>
          <w:sz w:val="24"/>
        </w:rPr>
        <w:t>；</w:t>
      </w:r>
    </w:p>
    <w:p>
      <w:pPr>
        <w:pStyle w:val="ListBullet"/>
        <w:ind w:firstLine="0"/>
      </w:pPr>
      <w:r>
        <w:rPr>
          <w:rFonts w:ascii="Times New Roman" w:hAnsi="Times New Roman" w:eastAsia="宋体"/>
          <w:sz w:val="24"/>
        </w:rPr>
        <w:t>对未标注或新采集批次运行闭环流水线；</w:t>
      </w:r>
    </w:p>
    <w:p>
      <w:pPr>
        <w:pStyle w:val="ListBullet"/>
        <w:ind w:firstLine="0"/>
      </w:pPr>
      <w:r>
        <w:rPr>
          <w:rFonts w:ascii="Times New Roman" w:hAnsi="Times New Roman" w:eastAsia="宋体"/>
          <w:sz w:val="24"/>
        </w:rPr>
        <w:t xml:space="preserve">人工审核 </w:t>
      </w:r>
      <w:r>
        <w:rPr>
          <w:rFonts w:ascii="Consolas" w:hAnsi="Consolas" w:eastAsia="宋体"/>
          <w:sz w:val="24"/>
        </w:rPr>
        <w:t>vis/</w:t>
      </w:r>
      <w:r>
        <w:rPr>
          <w:rFonts w:ascii="Times New Roman" w:hAnsi="Times New Roman" w:eastAsia="宋体"/>
          <w:sz w:val="24"/>
        </w:rPr>
        <w:t xml:space="preserve"> 与 </w:t>
      </w:r>
      <w:r>
        <w:rPr>
          <w:rFonts w:ascii="Consolas" w:hAnsi="Consolas" w:eastAsia="宋体"/>
          <w:sz w:val="24"/>
        </w:rPr>
        <w:t>labels_sam/</w:t>
      </w:r>
      <w:r>
        <w:rPr>
          <w:rFonts w:ascii="Times New Roman" w:hAnsi="Times New Roman" w:eastAsia="宋体"/>
          <w:sz w:val="24"/>
        </w:rPr>
        <w:t>，确认后并入训练集；</w:t>
      </w:r>
    </w:p>
    <w:p>
      <w:pPr>
        <w:pStyle w:val="ListBullet"/>
        <w:ind w:firstLine="0"/>
      </w:pPr>
      <w:r>
        <w:rPr>
          <w:rFonts w:ascii="Times New Roman" w:hAnsi="Times New Roman" w:eastAsia="宋体"/>
          <w:sz w:val="24"/>
        </w:rPr>
        <w:t>周期性再训练，监控 val 集 mAP 与田间抽检错误类型。</w:t>
      </w:r>
    </w:p>
    <w:p>
      <w:pPr>
        <w:spacing w:line="360" w:lineRule="auto"/>
        <w:ind w:firstLine="420"/>
      </w:pPr>
      <w:r>
        <w:rPr>
          <w:rFonts w:ascii="Times New Roman" w:hAnsi="Times New Roman" w:eastAsia="宋体"/>
          <w:sz w:val="24"/>
        </w:rPr>
        <w:t>该闭环把 SAM 从“一次性分割展示”升级为“可持续降低标注成本的生产力工具”，并把 LLM 报告作为班组作业与监管留痕的接口。</w:t>
      </w:r>
    </w:p>
    <w:p>
      <w:pPr>
        <w:pStyle w:val="Heading3"/>
        <w:spacing w:before="240" w:after="120"/>
        <w:ind w:firstLine="0"/>
      </w:pPr>
      <w:r>
        <w:rPr>
          <w:rFonts w:ascii="Times New Roman" w:hAnsi="Times New Roman" w:eastAsia="黑体"/>
          <w:b/>
          <w:sz w:val="24"/>
        </w:rPr>
        <w:t>3.8 算法伪代码</w:t>
      </w:r>
    </w:p>
    <w:p>
      <w:pPr>
        <w:spacing w:line="276" w:lineRule="auto"/>
        <w:ind w:firstLine="0"/>
      </w:pPr>
      <w:r>
        <w:rPr>
          <w:rFonts w:ascii="Consolas" w:hAnsi="Consolas" w:eastAsia="宋体"/>
          <w:color w:val="282828"/>
          <w:sz w:val="18"/>
        </w:rPr>
        <w:t>输入: 图像目录 S, YOLO权重 W, SAM权重 Φ, 阈值 (τ, ℓ, h, θ_H)</w:t>
        <w:br/>
        <w:t>输出: final_results, qc_report, report_md</w:t>
        <w:br/>
        <w:br/>
        <w:t>model ← LoadYOLO(W)</w:t>
        <w:br/>
        <w:t>sam   ← LoadSAM(Φ)</w:t>
        <w:br/>
        <w:t>for I in ListImages(S):</w:t>
        <w:br/>
        <w:t xml:space="preserve">    D ← Detect(model, I, conf=τ)</w:t>
        <w:br/>
        <w:t xml:space="preserve">    H, reason ← ScoreHard(D, ℓ, h)</w:t>
        <w:br/>
        <w:t xml:space="preserve">    hard ← (H ≥ θ_H)</w:t>
        <w:br/>
        <w:t xml:space="preserve">    D' ← []</w:t>
        <w:br/>
        <w:t xml:space="preserve">    for det in D:</w:t>
        <w:br/>
        <w:t xml:space="preserve">        if Uncertain(det.s, ℓ, h) or hard:</w:t>
        <w:br/>
        <w:t xml:space="preserve">            m ← SAM_BoxPrompt(sam, I, det.box)</w:t>
        <w:br/>
        <w:t xml:space="preserve">            if Valid(m):</w:t>
        <w:br/>
        <w:t xml:space="preserve">                det.box ← BBox(m); det.refined_by ← "sam"</w:t>
        <w:br/>
        <w:t xml:space="preserve">            else:</w:t>
        <w:br/>
        <w:t xml:space="preserve">                det.refined_by ← "yolo"</w:t>
        <w:br/>
        <w:t xml:space="preserve">        else:</w:t>
        <w:br/>
        <w:t xml:space="preserve">            det.refined_by ← "yolo"</w:t>
        <w:br/>
        <w:t xml:space="preserve">        D'.append(det)   # 类别与置信度始终来自 YOLO</w:t>
        <w:br/>
        <w:t xml:space="preserve">    Save(D'), Visualize(I, D')</w:t>
        <w:br/>
        <w:t>summary ← BuildSummary(all D', hard list)</w:t>
        <w:br/>
        <w:t>(qc, report_md) ← LLM_Review(summary)  # 不回写 D'</w:t>
      </w:r>
    </w:p>
    <w:p>
      <w:pPr>
        <w:pStyle w:val="Heading3"/>
        <w:spacing w:before="240" w:after="120"/>
        <w:ind w:firstLine="0"/>
      </w:pPr>
      <w:r>
        <w:rPr>
          <w:rFonts w:ascii="Times New Roman" w:hAnsi="Times New Roman" w:eastAsia="黑体"/>
          <w:b/>
          <w:sz w:val="24"/>
        </w:rPr>
        <w:t>3.9 输出产物与可追溯性设计</w:t>
      </w:r>
    </w:p>
    <w:p>
      <w:pPr>
        <w:spacing w:line="360" w:lineRule="auto"/>
        <w:ind w:firstLine="420"/>
      </w:pPr>
      <w:r>
        <w:rPr>
          <w:rFonts w:ascii="Times New Roman" w:hAnsi="Times New Roman" w:eastAsia="宋体"/>
          <w:sz w:val="24"/>
        </w:rPr>
        <w:t>闭环一次运行在输出目录中固化多层产物，便于论文复现与工程审计：</w:t>
      </w:r>
    </w:p>
    <w:p>
      <w:pPr>
        <w:pStyle w:val="ListBullet"/>
        <w:ind w:firstLine="0"/>
      </w:pPr>
      <w:r>
        <w:rPr>
          <w:rFonts w:ascii="Consolas" w:hAnsi="Consolas" w:eastAsia="宋体"/>
          <w:sz w:val="24"/>
        </w:rPr>
        <w:t>predictions_yolo.json</w:t>
      </w:r>
      <w:r>
        <w:rPr>
          <w:rFonts w:ascii="Times New Roman" w:hAnsi="Times New Roman" w:eastAsia="宋体"/>
          <w:sz w:val="24"/>
        </w:rPr>
        <w:t>：记录未经精炼的检测原语，作为分类与置信度的“事实源”；</w:t>
      </w:r>
    </w:p>
    <w:p>
      <w:pPr>
        <w:pStyle w:val="ListBullet"/>
        <w:ind w:firstLine="0"/>
      </w:pPr>
      <w:r>
        <w:rPr>
          <w:rFonts w:ascii="Consolas" w:hAnsi="Consolas" w:eastAsia="宋体"/>
          <w:sz w:val="24"/>
        </w:rPr>
        <w:t>hard_examples.json</w:t>
      </w:r>
      <w:r>
        <w:rPr>
          <w:rFonts w:ascii="Times New Roman" w:hAnsi="Times New Roman" w:eastAsia="宋体"/>
          <w:sz w:val="24"/>
        </w:rPr>
        <w:t>：记录每图难例分数、原因字符串、不确定框计数与拥挤标志，支持阈值复盘；</w:t>
      </w:r>
    </w:p>
    <w:p>
      <w:pPr>
        <w:pStyle w:val="ListBullet"/>
        <w:ind w:firstLine="0"/>
      </w:pPr>
      <w:r>
        <w:rPr>
          <w:rFonts w:ascii="Consolas" w:hAnsi="Consolas" w:eastAsia="宋体"/>
          <w:sz w:val="24"/>
        </w:rPr>
        <w:t>final_results.json</w:t>
      </w:r>
      <w:r>
        <w:rPr>
          <w:rFonts w:ascii="Times New Roman" w:hAnsi="Times New Roman" w:eastAsia="宋体"/>
          <w:sz w:val="24"/>
        </w:rPr>
        <w:t xml:space="preserve">：融合后的最终检测，每条含 </w:t>
      </w:r>
      <w:r>
        <w:rPr>
          <w:rFonts w:ascii="Consolas" w:hAnsi="Consolas" w:eastAsia="宋体"/>
          <w:sz w:val="24"/>
        </w:rPr>
        <w:t>refined_by</w:t>
      </w:r>
      <w:r>
        <w:rPr>
          <w:rFonts w:ascii="Times New Roman" w:hAnsi="Times New Roman" w:eastAsia="宋体"/>
          <w:sz w:val="24"/>
        </w:rPr>
        <w:t xml:space="preserve"> 字段；</w:t>
      </w:r>
    </w:p>
    <w:p>
      <w:pPr>
        <w:pStyle w:val="ListBullet"/>
        <w:ind w:firstLine="0"/>
      </w:pPr>
      <w:r>
        <w:rPr>
          <w:rFonts w:ascii="Consolas" w:hAnsi="Consolas" w:eastAsia="宋体"/>
          <w:sz w:val="24"/>
        </w:rPr>
        <w:t>labels_sam/</w:t>
      </w:r>
      <w:r>
        <w:rPr>
          <w:rFonts w:ascii="Times New Roman" w:hAnsi="Times New Roman" w:eastAsia="宋体"/>
          <w:sz w:val="24"/>
        </w:rPr>
        <w:t xml:space="preserve"> 与 </w:t>
      </w:r>
      <w:r>
        <w:rPr>
          <w:rFonts w:ascii="Consolas" w:hAnsi="Consolas" w:eastAsia="宋体"/>
          <w:sz w:val="24"/>
        </w:rPr>
        <w:t>sam_masks/</w:t>
      </w:r>
      <w:r>
        <w:rPr>
          <w:rFonts w:ascii="Times New Roman" w:hAnsi="Times New Roman" w:eastAsia="宋体"/>
          <w:sz w:val="24"/>
        </w:rPr>
        <w:t>：YOLO 格式标签与掩膜图，服务标注回灌与定性分析；</w:t>
      </w:r>
    </w:p>
    <w:p>
      <w:pPr>
        <w:pStyle w:val="ListBullet"/>
        <w:ind w:firstLine="0"/>
      </w:pPr>
      <w:r>
        <w:rPr>
          <w:rFonts w:ascii="Consolas" w:hAnsi="Consolas" w:eastAsia="宋体"/>
          <w:sz w:val="24"/>
        </w:rPr>
        <w:t>vis/</w:t>
      </w:r>
      <w:r>
        <w:rPr>
          <w:rFonts w:ascii="Times New Roman" w:hAnsi="Times New Roman" w:eastAsia="宋体"/>
          <w:sz w:val="24"/>
        </w:rPr>
        <w:t>：叠加可视化，区分不同精炼来源；</w:t>
      </w:r>
    </w:p>
    <w:p>
      <w:pPr>
        <w:pStyle w:val="ListBullet"/>
        <w:ind w:firstLine="0"/>
      </w:pPr>
      <w:r>
        <w:rPr>
          <w:rFonts w:ascii="Consolas" w:hAnsi="Consolas" w:eastAsia="宋体"/>
          <w:sz w:val="24"/>
        </w:rPr>
        <w:t>qc_report.json</w:t>
      </w:r>
      <w:r>
        <w:rPr>
          <w:rFonts w:ascii="Times New Roman" w:hAnsi="Times New Roman" w:eastAsia="宋体"/>
          <w:sz w:val="24"/>
        </w:rPr>
        <w:t>、</w:t>
      </w:r>
      <w:r>
        <w:rPr>
          <w:rFonts w:ascii="Consolas" w:hAnsi="Consolas" w:eastAsia="宋体"/>
          <w:sz w:val="24"/>
        </w:rPr>
        <w:t>report.md</w:t>
      </w:r>
      <w:r>
        <w:rPr>
          <w:rFonts w:ascii="Times New Roman" w:hAnsi="Times New Roman" w:eastAsia="宋体"/>
          <w:sz w:val="24"/>
        </w:rPr>
        <w:t>、</w:t>
      </w:r>
      <w:r>
        <w:rPr>
          <w:rFonts w:ascii="Consolas" w:hAnsi="Consolas" w:eastAsia="宋体"/>
          <w:sz w:val="24"/>
        </w:rPr>
        <w:t>summary.json</w:t>
      </w:r>
      <w:r>
        <w:rPr>
          <w:rFonts w:ascii="Times New Roman" w:hAnsi="Times New Roman" w:eastAsia="宋体"/>
          <w:sz w:val="24"/>
        </w:rPr>
        <w:t>：质检结构、中文报告与流水线级统计。</w:t>
      </w:r>
    </w:p>
    <w:p>
      <w:pPr>
        <w:spacing w:line="360" w:lineRule="auto"/>
        <w:ind w:firstLine="420"/>
      </w:pPr>
      <w:r>
        <w:rPr>
          <w:rFonts w:ascii="Times New Roman" w:hAnsi="Times New Roman" w:eastAsia="宋体"/>
          <w:sz w:val="24"/>
        </w:rPr>
        <w:t>可追溯性体现在：任意最终框都能回溯到 YOLO 初检记录；若框被 SAM 替换，仍保留原类别与置信度；若质检指出某图高风险，可对照难例原因与可视化进行人工裁决。该设计使系统不仅“能检测”，而且“能被追问错在哪一层”。</w:t>
      </w:r>
    </w:p>
    <w:p>
      <w:pPr>
        <w:pStyle w:val="Heading3"/>
        <w:spacing w:before="240" w:after="120"/>
        <w:ind w:firstLine="0"/>
      </w:pPr>
      <w:r>
        <w:rPr>
          <w:rFonts w:ascii="Times New Roman" w:hAnsi="Times New Roman" w:eastAsia="黑体"/>
          <w:b/>
          <w:sz w:val="24"/>
        </w:rPr>
        <w:t>3.10 与变量喷雾决策的接口（方法层扩展）</w:t>
      </w:r>
    </w:p>
    <w:p>
      <w:pPr>
        <w:spacing w:line="360" w:lineRule="auto"/>
        <w:ind w:firstLine="420"/>
      </w:pPr>
      <w:r>
        <w:rPr>
          <w:rFonts w:ascii="Times New Roman" w:hAnsi="Times New Roman" w:eastAsia="宋体"/>
          <w:sz w:val="24"/>
        </w:rPr>
        <w:t>虽然本工程当前输出以检测与报告为主，但方法上可自然对接处方图生成。设图像对应地面分辨率为 \(g\)（米/像素），将图像划分为网格单元 \(\{u_k\}\)，则单元杂草压力可定义为</w:t>
      </w:r>
    </w:p>
    <w:p>
      <w:pPr>
        <w:spacing w:line="360" w:lineRule="auto"/>
        <w:ind w:firstLine="0"/>
        <w:jc w:val="center"/>
      </w:pPr>
      <w:r>
        <w:rPr>
          <w:rFonts w:ascii="Times New Roman" w:hAnsi="Times New Roman" w:eastAsia="宋体"/>
          <w:i/>
          <w:sz w:val="22"/>
        </w:rPr>
        <w:t>P(u_k)=\sum_{i:\,b_i\cap u_k\neq\emptyset} w(c_i)\,s_i\,A(b_i\cap u_k),</w:t>
      </w:r>
    </w:p>
    <w:p>
      <w:pPr>
        <w:spacing w:line="360" w:lineRule="auto"/>
        <w:ind w:firstLine="420"/>
      </w:pPr>
      <w:r>
        <w:rPr>
          <w:rFonts w:ascii="Times New Roman" w:hAnsi="Times New Roman" w:eastAsia="宋体"/>
          <w:sz w:val="24"/>
        </w:rPr>
        <w:t>其中 \(w(c)\) 为类别权重（例如阔叶与禾本科可设不同防治优先级），\(A(\cdot)\) 为相交面积。仅当单元内存在高置信作物框时，可对重叠杂草检测施加“保苗约束”，降低误喷概率。LLM 报告则可输出该地块的文字化风险摘要，供农艺师在确认处方前快速浏览。需要强调：处方执行阈值属于作业策略，不应反向改写检测标签；本文坚持感知与决策分层，避免把喷雾策略误差计入检测 mAP。</w:t>
      </w:r>
    </w:p>
    <w:p>
      <w:pPr>
        <w:pStyle w:val="Heading3"/>
        <w:spacing w:before="240" w:after="120"/>
        <w:ind w:firstLine="0"/>
      </w:pPr>
      <w:r>
        <w:rPr>
          <w:rFonts w:ascii="Times New Roman" w:hAnsi="Times New Roman" w:eastAsia="黑体"/>
          <w:b/>
          <w:sz w:val="24"/>
        </w:rPr>
        <w:t>3.11 复杂度与预算分析</w:t>
      </w:r>
    </w:p>
    <w:p>
      <w:pPr>
        <w:spacing w:line="360" w:lineRule="auto"/>
        <w:ind w:firstLine="420"/>
      </w:pPr>
      <w:r>
        <w:rPr>
          <w:rFonts w:ascii="Times New Roman" w:hAnsi="Times New Roman" w:eastAsia="宋体"/>
          <w:sz w:val="24"/>
        </w:rPr>
        <w:t>记 YOLO 单图耗时为 \(T_y\)，SAM 单次框提示耗时为 \(T_s\)，平均每图检出 \(m\) 个目标，难例触发使实际精炼框数为 \(m_r\)（\(m_r\le m\)）。忽略 LLM 批处理摊销时，单图视觉耗时近似为</w:t>
      </w:r>
    </w:p>
    <w:p>
      <w:pPr>
        <w:spacing w:line="360" w:lineRule="auto"/>
        <w:ind w:firstLine="0"/>
        <w:jc w:val="center"/>
      </w:pPr>
      <w:r>
        <w:rPr>
          <w:rFonts w:ascii="Times New Roman" w:hAnsi="Times New Roman" w:eastAsia="宋体"/>
          <w:i/>
          <w:sz w:val="22"/>
        </w:rPr>
        <w:t>T \approx T_y + m_r\,T_s.</w:t>
      </w:r>
    </w:p>
    <w:p>
      <w:pPr>
        <w:spacing w:line="360" w:lineRule="auto"/>
        <w:ind w:firstLine="420"/>
      </w:pPr>
      <w:r>
        <w:rPr>
          <w:rFonts w:ascii="Times New Roman" w:hAnsi="Times New Roman" w:eastAsia="宋体"/>
          <w:sz w:val="24"/>
        </w:rPr>
        <w:t>全图精炼对应 \(m_r=m\)，难例驱动对应 \(m_r=\rho m\)，其中 \(\rho\) 为精炼率。只要 \(\rho\) 明显小于 1，且难例子集上定位收益显著，系统就能在精度–时延帕累托前沿上取得更优工作点。LLM 调用按批次摘要计费，与图像分辨率解耦，适合作为异步质检服务，而不阻塞田间实时检测线程。</w:t>
      </w:r>
    </w:p>
    <w:p>
      <w:pPr>
        <w:pStyle w:val="Heading2"/>
        <w:spacing w:before="240" w:after="120"/>
        <w:ind w:firstLine="0"/>
      </w:pPr>
      <w:r>
        <w:rPr>
          <w:rFonts w:ascii="Times New Roman" w:hAnsi="Times New Roman" w:eastAsia="黑体"/>
          <w:b/>
          <w:sz w:val="28"/>
        </w:rPr>
        <w:t>4 实验协议与结果框架</w:t>
      </w:r>
    </w:p>
    <w:p>
      <w:pPr>
        <w:spacing w:line="360" w:lineRule="auto"/>
        <w:ind w:firstLine="0" w:left="283"/>
      </w:pPr>
      <w:r>
        <w:rPr>
          <w:rFonts w:ascii="Times New Roman" w:hAnsi="Times New Roman" w:eastAsia="宋体"/>
          <w:b/>
          <w:i/>
          <w:color w:val="505050"/>
          <w:sz w:val="21"/>
        </w:rPr>
        <w:t>声明：</w:t>
      </w:r>
      <w:r>
        <w:rPr>
          <w:rFonts w:ascii="Times New Roman" w:hAnsi="Times New Roman" w:eastAsia="宋体"/>
          <w:i/>
          <w:color w:val="505050"/>
          <w:sz w:val="21"/>
        </w:rPr>
        <w:t xml:space="preserve"> 截至初稿撰写时，工程内仅有极少量标注样本，既有训练日志中 mAP 近似为 0，不能代表方法真实能力。以下 4.1–4.3 为面向二区期刊的</w:t>
      </w:r>
      <w:r>
        <w:rPr>
          <w:rFonts w:ascii="Times New Roman" w:hAnsi="Times New Roman" w:eastAsia="宋体"/>
          <w:b/>
          <w:i/>
          <w:color w:val="505050"/>
          <w:sz w:val="21"/>
        </w:rPr>
        <w:t>推荐实验协议</w:t>
      </w:r>
      <w:r>
        <w:rPr>
          <w:rFonts w:ascii="Times New Roman" w:hAnsi="Times New Roman" w:eastAsia="宋体"/>
          <w:i/>
          <w:color w:val="505050"/>
          <w:sz w:val="21"/>
        </w:rPr>
        <w:t>；4.4 节表格中的数字为</w:t>
      </w:r>
      <w:r>
        <w:rPr>
          <w:rFonts w:ascii="Times New Roman" w:hAnsi="Times New Roman" w:eastAsia="宋体"/>
          <w:b/>
          <w:i/>
          <w:color w:val="505050"/>
          <w:sz w:val="21"/>
        </w:rPr>
        <w:t>格式占位示例</w:t>
      </w:r>
      <w:r>
        <w:rPr>
          <w:rFonts w:ascii="Times New Roman" w:hAnsi="Times New Roman" w:eastAsia="宋体"/>
          <w:i/>
          <w:color w:val="505050"/>
          <w:sz w:val="21"/>
        </w:rPr>
        <w:t>，必须用实测替换。</w:t>
      </w:r>
    </w:p>
    <w:p>
      <w:pPr>
        <w:pStyle w:val="Heading3"/>
        <w:spacing w:before="240" w:after="120"/>
        <w:ind w:firstLine="0"/>
      </w:pPr>
      <w:r>
        <w:rPr>
          <w:rFonts w:ascii="Times New Roman" w:hAnsi="Times New Roman" w:eastAsia="黑体"/>
          <w:b/>
          <w:sz w:val="24"/>
        </w:rPr>
        <w:t>4.1 数据集建议</w:t>
      </w:r>
    </w:p>
    <w:p>
      <w:pPr>
        <w:spacing w:line="360" w:lineRule="auto"/>
        <w:ind w:firstLine="420"/>
      </w:pPr>
      <w:r>
        <w:rPr>
          <w:rFonts w:ascii="Times New Roman" w:hAnsi="Times New Roman" w:eastAsia="宋体"/>
          <w:sz w:val="24"/>
        </w:rPr>
        <w:t>为支撑二区及以上投稿，建议构建满足以下条件的田间苗期数据集：</w:t>
      </w:r>
    </w:p>
    <w:tbl>
      <w:tblPr>
        <w:tblStyle w:val="TableGrid"/>
        <w:tblW w:type="auto" w:w="0"/>
        <w:tblLook w:firstColumn="1" w:firstRow="1" w:lastColumn="0" w:lastRow="0" w:noHBand="0" w:noVBand="1" w:val="04A0"/>
      </w:tblPr>
      <w:tblGrid>
        <w:gridCol w:w="4536"/>
        <w:gridCol w:w="4536"/>
      </w:tblGrid>
      <w:tr>
        <w:tc>
          <w:tcPr>
            <w:tcW w:type="dxa" w:w="4536"/>
          </w:tcPr>
          <w:p>
            <w:pPr>
              <w:ind w:firstLine="0"/>
            </w:pPr>
            <w:r/>
            <w:r>
              <w:rPr>
                <w:rFonts w:ascii="Times New Roman" w:hAnsi="Times New Roman" w:eastAsia="宋体"/>
                <w:b/>
                <w:sz w:val="20"/>
              </w:rPr>
              <w:t>项目</w:t>
            </w:r>
          </w:p>
        </w:tc>
        <w:tc>
          <w:tcPr>
            <w:tcW w:type="dxa" w:w="4536"/>
          </w:tcPr>
          <w:p>
            <w:pPr>
              <w:ind w:firstLine="0"/>
            </w:pPr>
            <w:r/>
            <w:r>
              <w:rPr>
                <w:rFonts w:ascii="Times New Roman" w:hAnsi="Times New Roman" w:eastAsia="宋体"/>
                <w:b/>
                <w:sz w:val="20"/>
              </w:rPr>
              <w:t>建议规格</w:t>
            </w:r>
          </w:p>
        </w:tc>
      </w:tr>
      <w:tr>
        <w:tc>
          <w:tcPr>
            <w:tcW w:type="dxa" w:w="4536"/>
          </w:tcPr>
          <w:p>
            <w:pPr>
              <w:ind w:firstLine="0"/>
            </w:pPr>
            <w:r/>
            <w:r>
              <w:rPr>
                <w:rFonts w:ascii="Times New Roman" w:hAnsi="Times New Roman" w:eastAsia="宋体"/>
                <w:b w:val="0"/>
                <w:sz w:val="20"/>
              </w:rPr>
              <w:t>场景</w:t>
            </w:r>
          </w:p>
        </w:tc>
        <w:tc>
          <w:tcPr>
            <w:tcW w:type="dxa" w:w="4536"/>
          </w:tcPr>
          <w:p>
            <w:pPr>
              <w:ind w:firstLine="0"/>
            </w:pPr>
            <w:r/>
            <w:r>
              <w:rPr>
                <w:rFonts w:ascii="Times New Roman" w:hAnsi="Times New Roman" w:eastAsia="宋体"/>
                <w:b w:val="0"/>
                <w:sz w:val="20"/>
              </w:rPr>
              <w:t>玉米苗期，覆盖晴天/阴天、早晨/正午、干土/湿土</w:t>
            </w:r>
          </w:p>
        </w:tc>
      </w:tr>
      <w:tr>
        <w:tc>
          <w:tcPr>
            <w:tcW w:type="dxa" w:w="4536"/>
          </w:tcPr>
          <w:p>
            <w:pPr>
              <w:ind w:firstLine="0"/>
            </w:pPr>
            <w:r/>
            <w:r>
              <w:rPr>
                <w:rFonts w:ascii="Times New Roman" w:hAnsi="Times New Roman" w:eastAsia="宋体"/>
                <w:b w:val="0"/>
                <w:sz w:val="20"/>
              </w:rPr>
              <w:t>类别</w:t>
            </w:r>
          </w:p>
        </w:tc>
        <w:tc>
          <w:tcPr>
            <w:tcW w:type="dxa" w:w="4536"/>
          </w:tcPr>
          <w:p>
            <w:pPr>
              <w:ind w:firstLine="0"/>
            </w:pPr>
            <w:r/>
            <w:r>
              <w:rPr>
                <w:rFonts w:ascii="Times New Roman" w:hAnsi="Times New Roman" w:eastAsia="宋体"/>
                <w:b w:val="0"/>
                <w:sz w:val="20"/>
              </w:rPr>
              <w:t>maize / broadleaf / grass（可按地区扩展其他杂草）</w:t>
            </w:r>
          </w:p>
        </w:tc>
      </w:tr>
      <w:tr>
        <w:tc>
          <w:tcPr>
            <w:tcW w:type="dxa" w:w="4536"/>
          </w:tcPr>
          <w:p>
            <w:pPr>
              <w:ind w:firstLine="0"/>
            </w:pPr>
            <w:r/>
            <w:r>
              <w:rPr>
                <w:rFonts w:ascii="Times New Roman" w:hAnsi="Times New Roman" w:eastAsia="宋体"/>
                <w:b w:val="0"/>
                <w:sz w:val="20"/>
              </w:rPr>
              <w:t>规模</w:t>
            </w:r>
          </w:p>
        </w:tc>
        <w:tc>
          <w:tcPr>
            <w:tcW w:type="dxa" w:w="4536"/>
          </w:tcPr>
          <w:p>
            <w:pPr>
              <w:ind w:firstLine="0"/>
            </w:pPr>
            <w:r/>
            <w:r>
              <w:rPr>
                <w:rFonts w:ascii="Times New Roman" w:hAnsi="Times New Roman" w:eastAsia="宋体"/>
                <w:b w:val="0"/>
                <w:sz w:val="20"/>
              </w:rPr>
              <w:t>建议 ≥ 3,000 张有效标注图，或 ≥ 15,000 实例</w:t>
            </w:r>
          </w:p>
        </w:tc>
      </w:tr>
      <w:tr>
        <w:tc>
          <w:tcPr>
            <w:tcW w:type="dxa" w:w="4536"/>
          </w:tcPr>
          <w:p>
            <w:pPr>
              <w:ind w:firstLine="0"/>
            </w:pPr>
            <w:r/>
            <w:r>
              <w:rPr>
                <w:rFonts w:ascii="Times New Roman" w:hAnsi="Times New Roman" w:eastAsia="宋体"/>
                <w:b w:val="0"/>
                <w:sz w:val="20"/>
              </w:rPr>
              <w:t>划分</w:t>
            </w:r>
          </w:p>
        </w:tc>
        <w:tc>
          <w:tcPr>
            <w:tcW w:type="dxa" w:w="4536"/>
          </w:tcPr>
          <w:p>
            <w:pPr>
              <w:ind w:firstLine="0"/>
            </w:pPr>
            <w:r/>
            <w:r>
              <w:rPr>
                <w:rFonts w:ascii="Times New Roman" w:hAnsi="Times New Roman" w:eastAsia="宋体"/>
                <w:b w:val="0"/>
                <w:sz w:val="20"/>
              </w:rPr>
              <w:t>按地块或采集日分层划分 train/val/test，避免同地块泄漏</w:t>
            </w:r>
          </w:p>
        </w:tc>
      </w:tr>
      <w:tr>
        <w:tc>
          <w:tcPr>
            <w:tcW w:type="dxa" w:w="4536"/>
          </w:tcPr>
          <w:p>
            <w:pPr>
              <w:ind w:firstLine="0"/>
            </w:pPr>
            <w:r/>
            <w:r>
              <w:rPr>
                <w:rFonts w:ascii="Times New Roman" w:hAnsi="Times New Roman" w:eastAsia="宋体"/>
                <w:b w:val="0"/>
                <w:sz w:val="20"/>
              </w:rPr>
              <w:t>标注</w:t>
            </w:r>
          </w:p>
        </w:tc>
        <w:tc>
          <w:tcPr>
            <w:tcW w:type="dxa" w:w="4536"/>
          </w:tcPr>
          <w:p>
            <w:pPr>
              <w:ind w:firstLine="0"/>
            </w:pPr>
            <w:r/>
            <w:r>
              <w:rPr>
                <w:rFonts w:ascii="Times New Roman" w:hAnsi="Times New Roman" w:eastAsia="宋体"/>
                <w:b w:val="0"/>
                <w:sz w:val="20"/>
              </w:rPr>
              <w:t>YOLO 框；对子集可增加掩膜以评估 SAM 定位收益</w:t>
            </w:r>
          </w:p>
        </w:tc>
      </w:tr>
      <w:tr>
        <w:tc>
          <w:tcPr>
            <w:tcW w:type="dxa" w:w="4536"/>
          </w:tcPr>
          <w:p>
            <w:pPr>
              <w:ind w:firstLine="0"/>
            </w:pPr>
            <w:r/>
            <w:r>
              <w:rPr>
                <w:rFonts w:ascii="Times New Roman" w:hAnsi="Times New Roman" w:eastAsia="宋体"/>
                <w:b w:val="0"/>
                <w:sz w:val="20"/>
              </w:rPr>
              <w:t>难例标签</w:t>
            </w:r>
          </w:p>
        </w:tc>
        <w:tc>
          <w:tcPr>
            <w:tcW w:type="dxa" w:w="4536"/>
          </w:tcPr>
          <w:p>
            <w:pPr>
              <w:ind w:firstLine="0"/>
            </w:pPr>
            <w:r/>
            <w:r>
              <w:rPr>
                <w:rFonts w:ascii="Times New Roman" w:hAnsi="Times New Roman" w:eastAsia="宋体"/>
                <w:b w:val="0"/>
                <w:sz w:val="20"/>
              </w:rPr>
              <w:t>可选：遮挡、粘连、强光、稀疏等属性标签，便于分层报告</w:t>
            </w:r>
          </w:p>
        </w:tc>
      </w:tr>
    </w:tbl>
    <w:p/>
    <w:p>
      <w:pPr>
        <w:spacing w:line="360" w:lineRule="auto"/>
        <w:ind w:firstLine="420"/>
      </w:pPr>
      <w:r>
        <w:rPr>
          <w:rFonts w:ascii="Times New Roman" w:hAnsi="Times New Roman" w:eastAsia="宋体"/>
          <w:sz w:val="24"/>
        </w:rPr>
        <w:t>评价时除总体 mAP 外，应报告小目标、遮挡子集与各类别 AP，以体现农业场景难点。</w:t>
      </w:r>
    </w:p>
    <w:p>
      <w:pPr>
        <w:pStyle w:val="Heading3"/>
        <w:spacing w:before="240" w:after="120"/>
        <w:ind w:firstLine="0"/>
      </w:pPr>
      <w:r>
        <w:rPr>
          <w:rFonts w:ascii="Times New Roman" w:hAnsi="Times New Roman" w:eastAsia="黑体"/>
          <w:b/>
          <w:sz w:val="24"/>
        </w:rPr>
        <w:t>4.1.1 采集与标注作业规范（建议写入论文补充材料）</w:t>
      </w:r>
    </w:p>
    <w:p>
      <w:pPr>
        <w:spacing w:line="360" w:lineRule="auto"/>
        <w:ind w:firstLine="420"/>
      </w:pPr>
      <w:r>
        <w:rPr>
          <w:rFonts w:ascii="Times New Roman" w:hAnsi="Times New Roman" w:eastAsia="宋体"/>
          <w:sz w:val="24"/>
        </w:rPr>
        <w:t xml:space="preserve">为降低领域偏移并提高可复现性，数据采集建议固定以下元数据字段：采集日期、生育期（叶龄）、地理网格或地块编号、相机型号与焦距、离地高度、天气与光照备注、是否灌溉后拍摄。地面拍摄时保持镜头近似垂直地面，避免过大透视造成尺度标注不稳定；无人机拍摄时记录航高与重叠度，使测试集可按航高分层评估。标注规程上，框应尽量贴合可见植株主体，对严重遮挡目标标注可见部分并打遮挡属性；当玉米苗与杂草叶片交叉时，按实例中心归属类别，避免“一个框装两类”。每批次导出后运行自动检查：空标签比例、类别直方图、框宽高分布异常值、以及 </w:t>
      </w:r>
      <w:r>
        <w:rPr>
          <w:rFonts w:ascii="Consolas" w:hAnsi="Consolas" w:eastAsia="宋体"/>
          <w:sz w:val="24"/>
        </w:rPr>
        <w:t>classes.txt</w:t>
      </w:r>
      <w:r>
        <w:rPr>
          <w:rFonts w:ascii="Times New Roman" w:hAnsi="Times New Roman" w:eastAsia="宋体"/>
          <w:sz w:val="24"/>
        </w:rPr>
        <w:t xml:space="preserve"> 与 </w:t>
      </w:r>
      <w:r>
        <w:rPr>
          <w:rFonts w:ascii="Consolas" w:hAnsi="Consolas" w:eastAsia="宋体"/>
          <w:sz w:val="24"/>
        </w:rPr>
        <w:t>field.yaml</w:t>
      </w:r>
      <w:r>
        <w:rPr>
          <w:rFonts w:ascii="Times New Roman" w:hAnsi="Times New Roman" w:eastAsia="宋体"/>
          <w:sz w:val="24"/>
        </w:rPr>
        <w:t xml:space="preserve"> 一致性。只有通过质控的数据才进入训练池，这样才能保证后续难例挖掘反映的是模型不确定性，而不是标注噪声。</w:t>
      </w:r>
    </w:p>
    <w:p>
      <w:pPr>
        <w:pStyle w:val="Heading3"/>
        <w:spacing w:before="240" w:after="120"/>
        <w:ind w:firstLine="0"/>
      </w:pPr>
      <w:r>
        <w:rPr>
          <w:rFonts w:ascii="Times New Roman" w:hAnsi="Times New Roman" w:eastAsia="黑体"/>
          <w:b/>
          <w:sz w:val="24"/>
        </w:rPr>
        <w:t>4.2 对比方法与消融</w:t>
      </w:r>
    </w:p>
    <w:p>
      <w:pPr>
        <w:spacing w:line="360" w:lineRule="auto"/>
        <w:ind w:firstLine="420"/>
      </w:pPr>
      <w:r>
        <w:rPr>
          <w:rFonts w:ascii="Times New Roman" w:hAnsi="Times New Roman" w:eastAsia="宋体"/>
          <w:b/>
          <w:sz w:val="24"/>
        </w:rPr>
        <w:t>检测基线：</w:t>
      </w:r>
      <w:r>
        <w:rPr>
          <w:rFonts w:ascii="Times New Roman" w:hAnsi="Times New Roman" w:eastAsia="宋体"/>
          <w:sz w:val="24"/>
        </w:rPr>
        <w:t xml:space="preserve"> YOLOv5s/YOLOv8s/YOLO11s、RT-DETR 等同量级模型。</w:t>
      </w:r>
    </w:p>
    <w:p>
      <w:pPr>
        <w:spacing w:line="360" w:lineRule="auto"/>
        <w:ind w:firstLine="420"/>
      </w:pPr>
      <w:r>
        <w:rPr>
          <w:rFonts w:ascii="Times New Roman" w:hAnsi="Times New Roman" w:eastAsia="宋体"/>
          <w:b/>
          <w:sz w:val="24"/>
        </w:rPr>
        <w:t>消融设置：</w:t>
      </w:r>
    </w:p>
    <w:tbl>
      <w:tblPr>
        <w:tblStyle w:val="TableGrid"/>
        <w:tblW w:type="auto" w:w="0"/>
        <w:tblLook w:firstColumn="1" w:firstRow="1" w:lastColumn="0" w:lastRow="0" w:noHBand="0" w:noVBand="1" w:val="04A0"/>
      </w:tblPr>
      <w:tblGrid>
        <w:gridCol w:w="3024"/>
        <w:gridCol w:w="3024"/>
        <w:gridCol w:w="3024"/>
      </w:tblGrid>
      <w:tr>
        <w:tc>
          <w:tcPr>
            <w:tcW w:type="dxa" w:w="3024"/>
          </w:tcPr>
          <w:p>
            <w:pPr>
              <w:ind w:firstLine="0"/>
            </w:pPr>
            <w:r/>
            <w:r>
              <w:rPr>
                <w:rFonts w:ascii="Times New Roman" w:hAnsi="Times New Roman" w:eastAsia="宋体"/>
                <w:b/>
                <w:sz w:val="20"/>
              </w:rPr>
              <w:t>编号</w:t>
            </w:r>
          </w:p>
        </w:tc>
        <w:tc>
          <w:tcPr>
            <w:tcW w:type="dxa" w:w="3024"/>
          </w:tcPr>
          <w:p>
            <w:pPr>
              <w:ind w:firstLine="0"/>
            </w:pPr>
            <w:r/>
            <w:r>
              <w:rPr>
                <w:rFonts w:ascii="Times New Roman" w:hAnsi="Times New Roman" w:eastAsia="宋体"/>
                <w:b/>
                <w:sz w:val="20"/>
              </w:rPr>
              <w:t>设置</w:t>
            </w:r>
          </w:p>
        </w:tc>
        <w:tc>
          <w:tcPr>
            <w:tcW w:type="dxa" w:w="3024"/>
          </w:tcPr>
          <w:p>
            <w:pPr>
              <w:ind w:firstLine="0"/>
            </w:pPr>
            <w:r/>
            <w:r>
              <w:rPr>
                <w:rFonts w:ascii="Times New Roman" w:hAnsi="Times New Roman" w:eastAsia="宋体"/>
                <w:b/>
                <w:sz w:val="20"/>
              </w:rPr>
              <w:t>目的</w:t>
            </w:r>
          </w:p>
        </w:tc>
      </w:tr>
      <w:tr>
        <w:tc>
          <w:tcPr>
            <w:tcW w:type="dxa" w:w="3024"/>
          </w:tcPr>
          <w:p>
            <w:pPr>
              <w:ind w:firstLine="0"/>
            </w:pPr>
            <w:r/>
            <w:r>
              <w:rPr>
                <w:rFonts w:ascii="Times New Roman" w:hAnsi="Times New Roman" w:eastAsia="宋体"/>
                <w:b w:val="0"/>
                <w:sz w:val="20"/>
              </w:rPr>
              <w:t>A0</w:t>
            </w:r>
          </w:p>
        </w:tc>
        <w:tc>
          <w:tcPr>
            <w:tcW w:type="dxa" w:w="3024"/>
          </w:tcPr>
          <w:p>
            <w:pPr>
              <w:ind w:firstLine="0"/>
            </w:pPr>
            <w:r/>
            <w:r>
              <w:rPr>
                <w:rFonts w:ascii="Times New Roman" w:hAnsi="Times New Roman" w:eastAsia="宋体"/>
                <w:b w:val="0"/>
                <w:sz w:val="20"/>
              </w:rPr>
              <w:t>仅 YOLO</w:t>
            </w:r>
          </w:p>
        </w:tc>
        <w:tc>
          <w:tcPr>
            <w:tcW w:type="dxa" w:w="3024"/>
          </w:tcPr>
          <w:p>
            <w:pPr>
              <w:ind w:firstLine="0"/>
            </w:pPr>
            <w:r/>
            <w:r>
              <w:rPr>
                <w:rFonts w:ascii="Times New Roman" w:hAnsi="Times New Roman" w:eastAsia="宋体"/>
                <w:b w:val="0"/>
                <w:sz w:val="20"/>
              </w:rPr>
              <w:t>检测基线</w:t>
            </w:r>
          </w:p>
        </w:tc>
      </w:tr>
      <w:tr>
        <w:tc>
          <w:tcPr>
            <w:tcW w:type="dxa" w:w="3024"/>
          </w:tcPr>
          <w:p>
            <w:pPr>
              <w:ind w:firstLine="0"/>
            </w:pPr>
            <w:r/>
            <w:r>
              <w:rPr>
                <w:rFonts w:ascii="Times New Roman" w:hAnsi="Times New Roman" w:eastAsia="宋体"/>
                <w:b w:val="0"/>
                <w:sz w:val="20"/>
              </w:rPr>
              <w:t>A1</w:t>
            </w:r>
          </w:p>
        </w:tc>
        <w:tc>
          <w:tcPr>
            <w:tcW w:type="dxa" w:w="3024"/>
          </w:tcPr>
          <w:p>
            <w:pPr>
              <w:ind w:firstLine="0"/>
            </w:pPr>
            <w:r/>
            <w:r>
              <w:rPr>
                <w:rFonts w:ascii="Times New Roman" w:hAnsi="Times New Roman" w:eastAsia="宋体"/>
                <w:b w:val="0"/>
                <w:sz w:val="20"/>
              </w:rPr>
              <w:t>YOLO + 全图 SAM</w:t>
            </w:r>
          </w:p>
        </w:tc>
        <w:tc>
          <w:tcPr>
            <w:tcW w:type="dxa" w:w="3024"/>
          </w:tcPr>
          <w:p>
            <w:pPr>
              <w:ind w:firstLine="0"/>
            </w:pPr>
            <w:r/>
            <w:r>
              <w:rPr>
                <w:rFonts w:ascii="Times New Roman" w:hAnsi="Times New Roman" w:eastAsia="宋体"/>
                <w:b w:val="0"/>
                <w:sz w:val="20"/>
              </w:rPr>
              <w:t>成本上界与精度上界参考</w:t>
            </w:r>
          </w:p>
        </w:tc>
      </w:tr>
      <w:tr>
        <w:tc>
          <w:tcPr>
            <w:tcW w:type="dxa" w:w="3024"/>
          </w:tcPr>
          <w:p>
            <w:pPr>
              <w:ind w:firstLine="0"/>
            </w:pPr>
            <w:r/>
            <w:r>
              <w:rPr>
                <w:rFonts w:ascii="Times New Roman" w:hAnsi="Times New Roman" w:eastAsia="宋体"/>
                <w:b w:val="0"/>
                <w:sz w:val="20"/>
              </w:rPr>
              <w:t>A2</w:t>
            </w:r>
          </w:p>
        </w:tc>
        <w:tc>
          <w:tcPr>
            <w:tcW w:type="dxa" w:w="3024"/>
          </w:tcPr>
          <w:p>
            <w:pPr>
              <w:ind w:firstLine="0"/>
            </w:pPr>
            <w:r/>
            <w:r>
              <w:rPr>
                <w:rFonts w:ascii="Times New Roman" w:hAnsi="Times New Roman" w:eastAsia="宋体"/>
                <w:b w:val="0"/>
                <w:sz w:val="20"/>
              </w:rPr>
              <w:t>YOLO + 难例 SAM（本文）</w:t>
            </w:r>
          </w:p>
        </w:tc>
        <w:tc>
          <w:tcPr>
            <w:tcW w:type="dxa" w:w="3024"/>
          </w:tcPr>
          <w:p>
            <w:pPr>
              <w:ind w:firstLine="0"/>
            </w:pPr>
            <w:r/>
            <w:r>
              <w:rPr>
                <w:rFonts w:ascii="Times New Roman" w:hAnsi="Times New Roman" w:eastAsia="宋体"/>
                <w:b w:val="0"/>
                <w:sz w:val="20"/>
              </w:rPr>
              <w:t>精度–成本折中</w:t>
            </w:r>
          </w:p>
        </w:tc>
      </w:tr>
      <w:tr>
        <w:tc>
          <w:tcPr>
            <w:tcW w:type="dxa" w:w="3024"/>
          </w:tcPr>
          <w:p>
            <w:pPr>
              <w:ind w:firstLine="0"/>
            </w:pPr>
            <w:r/>
            <w:r>
              <w:rPr>
                <w:rFonts w:ascii="Times New Roman" w:hAnsi="Times New Roman" w:eastAsia="宋体"/>
                <w:b w:val="0"/>
                <w:sz w:val="20"/>
              </w:rPr>
              <w:t>A3</w:t>
            </w:r>
          </w:p>
        </w:tc>
        <w:tc>
          <w:tcPr>
            <w:tcW w:type="dxa" w:w="3024"/>
          </w:tcPr>
          <w:p>
            <w:pPr>
              <w:ind w:firstLine="0"/>
            </w:pPr>
            <w:r/>
            <w:r>
              <w:rPr>
                <w:rFonts w:ascii="Times New Roman" w:hAnsi="Times New Roman" w:eastAsia="宋体"/>
                <w:b w:val="0"/>
                <w:sz w:val="20"/>
              </w:rPr>
              <w:t>A2 + LLM 质检</w:t>
            </w:r>
          </w:p>
        </w:tc>
        <w:tc>
          <w:tcPr>
            <w:tcW w:type="dxa" w:w="3024"/>
          </w:tcPr>
          <w:p>
            <w:pPr>
              <w:ind w:firstLine="0"/>
            </w:pPr>
            <w:r/>
            <w:r>
              <w:rPr>
                <w:rFonts w:ascii="Times New Roman" w:hAnsi="Times New Roman" w:eastAsia="宋体"/>
                <w:b w:val="0"/>
                <w:sz w:val="20"/>
              </w:rPr>
              <w:t>不改 mAP，评估质检辅助价值</w:t>
            </w:r>
          </w:p>
        </w:tc>
      </w:tr>
      <w:tr>
        <w:tc>
          <w:tcPr>
            <w:tcW w:type="dxa" w:w="3024"/>
          </w:tcPr>
          <w:p>
            <w:pPr>
              <w:ind w:firstLine="0"/>
            </w:pPr>
            <w:r/>
            <w:r>
              <w:rPr>
                <w:rFonts w:ascii="Times New Roman" w:hAnsi="Times New Roman" w:eastAsia="宋体"/>
                <w:b w:val="0"/>
                <w:sz w:val="20"/>
              </w:rPr>
              <w:t>A4</w:t>
            </w:r>
          </w:p>
        </w:tc>
        <w:tc>
          <w:tcPr>
            <w:tcW w:type="dxa" w:w="3024"/>
          </w:tcPr>
          <w:p>
            <w:pPr>
              <w:ind w:firstLine="0"/>
            </w:pPr>
            <w:r/>
            <w:r>
              <w:rPr>
                <w:rFonts w:ascii="Times New Roman" w:hAnsi="Times New Roman" w:eastAsia="宋体"/>
                <w:b w:val="0"/>
                <w:sz w:val="20"/>
              </w:rPr>
              <w:t>不同 \((\ell,h,\theta_H)\)</w:t>
            </w:r>
          </w:p>
        </w:tc>
        <w:tc>
          <w:tcPr>
            <w:tcW w:type="dxa" w:w="3024"/>
          </w:tcPr>
          <w:p>
            <w:pPr>
              <w:ind w:firstLine="0"/>
            </w:pPr>
            <w:r/>
            <w:r>
              <w:rPr>
                <w:rFonts w:ascii="Times New Roman" w:hAnsi="Times New Roman" w:eastAsia="宋体"/>
                <w:b w:val="0"/>
                <w:sz w:val="20"/>
              </w:rPr>
              <w:t>难例阈值敏感性</w:t>
            </w:r>
          </w:p>
        </w:tc>
      </w:tr>
    </w:tbl>
    <w:p/>
    <w:p>
      <w:pPr>
        <w:spacing w:line="360" w:lineRule="auto"/>
        <w:ind w:firstLine="420"/>
      </w:pPr>
      <w:r>
        <w:rPr>
          <w:rFonts w:ascii="Times New Roman" w:hAnsi="Times New Roman" w:eastAsia="宋体"/>
          <w:b/>
          <w:sz w:val="24"/>
        </w:rPr>
        <w:t>定位评价（针对精炼子集）：</w:t>
      </w:r>
      <w:r>
        <w:rPr>
          <w:rFonts w:ascii="Times New Roman" w:hAnsi="Times New Roman" w:eastAsia="宋体"/>
          <w:sz w:val="24"/>
        </w:rPr>
        <w:t xml:space="preserve"> 对 SAM 触发的框，报告精炼前后与真值的 IoU、中心点误差与框面积误差。</w:t>
      </w:r>
    </w:p>
    <w:p>
      <w:pPr>
        <w:spacing w:line="360" w:lineRule="auto"/>
        <w:ind w:firstLine="420"/>
      </w:pPr>
      <w:r>
        <w:rPr>
          <w:rFonts w:ascii="Times New Roman" w:hAnsi="Times New Roman" w:eastAsia="宋体"/>
          <w:b/>
          <w:sz w:val="24"/>
        </w:rPr>
        <w:t>效率评价：</w:t>
      </w:r>
      <w:r>
        <w:rPr>
          <w:rFonts w:ascii="Times New Roman" w:hAnsi="Times New Roman" w:eastAsia="宋体"/>
          <w:sz w:val="24"/>
        </w:rPr>
        <w:t xml:space="preserve"> 平均每图耗时、SAM 调用率、相对 A1 的加速比、GPU 显存峰值。</w:t>
      </w:r>
    </w:p>
    <w:p>
      <w:pPr>
        <w:spacing w:line="360" w:lineRule="auto"/>
        <w:ind w:firstLine="420"/>
      </w:pPr>
      <w:r>
        <w:rPr>
          <w:rFonts w:ascii="Times New Roman" w:hAnsi="Times New Roman" w:eastAsia="宋体"/>
          <w:b/>
          <w:sz w:val="24"/>
        </w:rPr>
        <w:t>质检评价：</w:t>
      </w:r>
      <w:r>
        <w:rPr>
          <w:rFonts w:ascii="Times New Roman" w:hAnsi="Times New Roman" w:eastAsia="宋体"/>
          <w:sz w:val="24"/>
        </w:rPr>
        <w:t xml:space="preserve"> 人工标注“是否需复核”与 LLM </w:t>
      </w:r>
      <w:r>
        <w:rPr>
          <w:rFonts w:ascii="Consolas" w:hAnsi="Consolas" w:eastAsia="宋体"/>
          <w:sz w:val="24"/>
        </w:rPr>
        <w:t>suspicious_images</w:t>
      </w:r>
      <w:r>
        <w:rPr>
          <w:rFonts w:ascii="Times New Roman" w:hAnsi="Times New Roman" w:eastAsia="宋体"/>
          <w:sz w:val="24"/>
        </w:rPr>
        <w:t xml:space="preserve"> 的 Precision/Recall；报告可用性李克特量表（农艺人员评分）。</w:t>
      </w:r>
    </w:p>
    <w:p>
      <w:pPr>
        <w:pStyle w:val="Heading3"/>
        <w:spacing w:before="240" w:after="120"/>
        <w:ind w:firstLine="0"/>
      </w:pPr>
      <w:r>
        <w:rPr>
          <w:rFonts w:ascii="Times New Roman" w:hAnsi="Times New Roman" w:eastAsia="黑体"/>
          <w:b/>
          <w:sz w:val="24"/>
        </w:rPr>
        <w:t>4.3 实现细节（与工程一致）</w:t>
      </w:r>
    </w:p>
    <w:p>
      <w:pPr>
        <w:pStyle w:val="ListBullet"/>
        <w:ind w:firstLine="0"/>
      </w:pPr>
      <w:r>
        <w:rPr>
          <w:rFonts w:ascii="Times New Roman" w:hAnsi="Times New Roman" w:eastAsia="宋体"/>
          <w:sz w:val="24"/>
        </w:rPr>
        <w:t>训练：Ultralytics，输入 640， mosaic 等默认增强，AdamW/SGD 按官方默认，早停与余弦退火可选；</w:t>
      </w:r>
    </w:p>
    <w:p>
      <w:pPr>
        <w:pStyle w:val="ListBullet"/>
        <w:ind w:firstLine="0"/>
      </w:pPr>
      <w:r>
        <w:rPr>
          <w:rFonts w:ascii="Times New Roman" w:hAnsi="Times New Roman" w:eastAsia="宋体"/>
          <w:sz w:val="24"/>
        </w:rPr>
        <w:t>推理：</w:t>
      </w:r>
      <w:r>
        <w:rPr>
          <w:rFonts w:ascii="Consolas" w:hAnsi="Consolas" w:eastAsia="宋体"/>
          <w:sz w:val="24"/>
        </w:rPr>
        <w:t>conf=0.25</w:t>
      </w:r>
      <w:r>
        <w:rPr>
          <w:rFonts w:ascii="Times New Roman" w:hAnsi="Times New Roman" w:eastAsia="宋体"/>
          <w:sz w:val="24"/>
        </w:rPr>
        <w:t>，</w:t>
      </w:r>
      <w:r>
        <w:rPr>
          <w:rFonts w:ascii="Consolas" w:hAnsi="Consolas" w:eastAsia="宋体"/>
          <w:sz w:val="24"/>
        </w:rPr>
        <w:t>iou=0.45</w:t>
      </w:r>
      <w:r>
        <w:rPr>
          <w:rFonts w:ascii="Times New Roman" w:hAnsi="Times New Roman" w:eastAsia="宋体"/>
          <w:sz w:val="24"/>
        </w:rPr>
        <w:t>；</w:t>
      </w:r>
    </w:p>
    <w:p>
      <w:pPr>
        <w:pStyle w:val="ListBullet"/>
        <w:ind w:firstLine="0"/>
      </w:pPr>
      <w:r>
        <w:rPr>
          <w:rFonts w:ascii="Times New Roman" w:hAnsi="Times New Roman" w:eastAsia="宋体"/>
          <w:sz w:val="24"/>
        </w:rPr>
        <w:t>SAM：</w:t>
      </w:r>
      <w:r>
        <w:rPr>
          <w:rFonts w:ascii="Consolas" w:hAnsi="Consolas" w:eastAsia="宋体"/>
          <w:sz w:val="24"/>
        </w:rPr>
        <w:t>vit_b</w:t>
      </w:r>
      <w:r>
        <w:rPr>
          <w:rFonts w:ascii="Times New Roman" w:hAnsi="Times New Roman" w:eastAsia="宋体"/>
          <w:sz w:val="24"/>
        </w:rPr>
        <w:t>，box prompt；</w:t>
      </w:r>
    </w:p>
    <w:p>
      <w:pPr>
        <w:pStyle w:val="ListBullet"/>
        <w:ind w:firstLine="0"/>
      </w:pPr>
      <w:r>
        <w:rPr>
          <w:rFonts w:ascii="Times New Roman" w:hAnsi="Times New Roman" w:eastAsia="宋体"/>
          <w:sz w:val="24"/>
        </w:rPr>
        <w:t>LLM：DeepSeek API 兼容模式，</w:t>
      </w:r>
      <w:r>
        <w:rPr>
          <w:rFonts w:ascii="Consolas" w:hAnsi="Consolas" w:eastAsia="宋体"/>
          <w:sz w:val="24"/>
        </w:rPr>
        <w:t>temperature=0.2</w:t>
      </w:r>
      <w:r>
        <w:rPr>
          <w:rFonts w:ascii="Times New Roman" w:hAnsi="Times New Roman" w:eastAsia="宋体"/>
          <w:sz w:val="24"/>
        </w:rPr>
        <w:t>；</w:t>
      </w:r>
    </w:p>
    <w:p>
      <w:pPr>
        <w:pStyle w:val="ListBullet"/>
        <w:ind w:firstLine="0"/>
      </w:pPr>
      <w:r>
        <w:rPr>
          <w:rFonts w:ascii="Times New Roman" w:hAnsi="Times New Roman" w:eastAsia="宋体"/>
          <w:sz w:val="24"/>
        </w:rPr>
        <w:t>硬件：记录 GPU/MPS/CPU 型号，保证可复现声明完整。</w:t>
      </w:r>
    </w:p>
    <w:p>
      <w:pPr>
        <w:pStyle w:val="Heading3"/>
        <w:spacing w:before="240" w:after="120"/>
        <w:ind w:firstLine="0"/>
      </w:pPr>
      <w:r>
        <w:rPr>
          <w:rFonts w:ascii="Times New Roman" w:hAnsi="Times New Roman" w:eastAsia="黑体"/>
          <w:b/>
          <w:sz w:val="24"/>
        </w:rPr>
        <w:t>4.4 结果表示例（占位，须替换）</w:t>
      </w:r>
    </w:p>
    <w:p>
      <w:pPr>
        <w:spacing w:line="360" w:lineRule="auto"/>
        <w:ind w:firstLine="420"/>
      </w:pPr>
      <w:r>
        <w:rPr>
          <w:rFonts w:ascii="Times New Roman" w:hAnsi="Times New Roman" w:eastAsia="宋体"/>
          <w:b/>
          <w:sz w:val="24"/>
        </w:rPr>
        <w:t>表 1 检测性能对比（占位示例）</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ind w:firstLine="0"/>
            </w:pPr>
            <w:r/>
            <w:r>
              <w:rPr>
                <w:rFonts w:ascii="Times New Roman" w:hAnsi="Times New Roman" w:eastAsia="宋体"/>
                <w:b/>
                <w:sz w:val="20"/>
              </w:rPr>
              <w:t>方法</w:t>
            </w:r>
          </w:p>
        </w:tc>
        <w:tc>
          <w:tcPr>
            <w:tcW w:type="dxa" w:w="1296"/>
          </w:tcPr>
          <w:p>
            <w:pPr>
              <w:ind w:firstLine="0"/>
            </w:pPr>
            <w:r/>
            <w:r>
              <w:rPr>
                <w:rFonts w:ascii="Times New Roman" w:hAnsi="Times New Roman" w:eastAsia="宋体"/>
                <w:b/>
                <w:sz w:val="20"/>
              </w:rPr>
              <w:t>P</w:t>
            </w:r>
          </w:p>
        </w:tc>
        <w:tc>
          <w:tcPr>
            <w:tcW w:type="dxa" w:w="1296"/>
          </w:tcPr>
          <w:p>
            <w:pPr>
              <w:ind w:firstLine="0"/>
            </w:pPr>
            <w:r/>
            <w:r>
              <w:rPr>
                <w:rFonts w:ascii="Times New Roman" w:hAnsi="Times New Roman" w:eastAsia="宋体"/>
                <w:b/>
                <w:sz w:val="20"/>
              </w:rPr>
              <w:t>R</w:t>
            </w:r>
          </w:p>
        </w:tc>
        <w:tc>
          <w:tcPr>
            <w:tcW w:type="dxa" w:w="1296"/>
          </w:tcPr>
          <w:p>
            <w:pPr>
              <w:ind w:firstLine="0"/>
            </w:pPr>
            <w:r/>
            <w:r>
              <w:rPr>
                <w:rFonts w:ascii="Times New Roman" w:hAnsi="Times New Roman" w:eastAsia="宋体"/>
                <w:b/>
                <w:sz w:val="20"/>
              </w:rPr>
              <w:t>mAP50</w:t>
            </w:r>
          </w:p>
        </w:tc>
        <w:tc>
          <w:tcPr>
            <w:tcW w:type="dxa" w:w="1296"/>
          </w:tcPr>
          <w:p>
            <w:pPr>
              <w:ind w:firstLine="0"/>
            </w:pPr>
            <w:r/>
            <w:r>
              <w:rPr>
                <w:rFonts w:ascii="Times New Roman" w:hAnsi="Times New Roman" w:eastAsia="宋体"/>
                <w:b/>
                <w:sz w:val="20"/>
              </w:rPr>
              <w:t>mAP50-95</w:t>
            </w:r>
          </w:p>
        </w:tc>
        <w:tc>
          <w:tcPr>
            <w:tcW w:type="dxa" w:w="1296"/>
          </w:tcPr>
          <w:p>
            <w:pPr>
              <w:ind w:firstLine="0"/>
            </w:pPr>
            <w:r/>
            <w:r>
              <w:rPr>
                <w:rFonts w:ascii="Times New Roman" w:hAnsi="Times New Roman" w:eastAsia="宋体"/>
                <w:b/>
                <w:sz w:val="20"/>
              </w:rPr>
              <w:t>参数量</w:t>
            </w:r>
          </w:p>
        </w:tc>
        <w:tc>
          <w:tcPr>
            <w:tcW w:type="dxa" w:w="1296"/>
          </w:tcPr>
          <w:p>
            <w:pPr>
              <w:ind w:firstLine="0"/>
            </w:pPr>
            <w:r/>
            <w:r>
              <w:rPr>
                <w:rFonts w:ascii="Times New Roman" w:hAnsi="Times New Roman" w:eastAsia="宋体"/>
                <w:b/>
                <w:sz w:val="20"/>
              </w:rPr>
              <w:t>备注</w:t>
            </w:r>
          </w:p>
        </w:tc>
      </w:tr>
      <w:tr>
        <w:tc>
          <w:tcPr>
            <w:tcW w:type="dxa" w:w="1296"/>
          </w:tcPr>
          <w:p>
            <w:pPr>
              <w:ind w:firstLine="0"/>
            </w:pPr>
            <w:r/>
            <w:r>
              <w:rPr>
                <w:rFonts w:ascii="Times New Roman" w:hAnsi="Times New Roman" w:eastAsia="宋体"/>
                <w:b w:val="0"/>
                <w:sz w:val="20"/>
              </w:rPr>
              <w:t>YOLOv8s</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基线</w:t>
            </w:r>
          </w:p>
        </w:tc>
      </w:tr>
      <w:tr>
        <w:tc>
          <w:tcPr>
            <w:tcW w:type="dxa" w:w="1296"/>
          </w:tcPr>
          <w:p>
            <w:pPr>
              <w:ind w:firstLine="0"/>
            </w:pPr>
            <w:r/>
            <w:r>
              <w:rPr>
                <w:rFonts w:ascii="Times New Roman" w:hAnsi="Times New Roman" w:eastAsia="宋体"/>
                <w:b w:val="0"/>
                <w:sz w:val="20"/>
              </w:rPr>
              <w:t>YOLO11s</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基线</w:t>
            </w:r>
          </w:p>
        </w:tc>
      </w:tr>
      <w:tr>
        <w:tc>
          <w:tcPr>
            <w:tcW w:type="dxa" w:w="1296"/>
          </w:tcPr>
          <w:p>
            <w:pPr>
              <w:ind w:firstLine="0"/>
            </w:pPr>
            <w:r/>
            <w:r>
              <w:rPr>
                <w:rFonts w:ascii="Times New Roman" w:hAnsi="Times New Roman" w:eastAsia="宋体"/>
                <w:b w:val="0"/>
                <w:sz w:val="20"/>
              </w:rPr>
              <w:t>YOLO+全图SAM</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成本高</w:t>
            </w:r>
          </w:p>
        </w:tc>
      </w:tr>
      <w:tr>
        <w:tc>
          <w:tcPr>
            <w:tcW w:type="dxa" w:w="1296"/>
          </w:tcPr>
          <w:p>
            <w:pPr>
              <w:ind w:firstLine="0"/>
            </w:pPr>
            <w:r/>
            <w:r>
              <w:rPr>
                <w:rFonts w:ascii="Times New Roman" w:hAnsi="Times New Roman" w:eastAsia="宋体"/>
                <w:b w:val="0"/>
                <w:sz w:val="20"/>
              </w:rPr>
              <w:t>本文（难例SAM）</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w:t>
            </w:r>
          </w:p>
        </w:tc>
        <w:tc>
          <w:tcPr>
            <w:tcW w:type="dxa" w:w="1296"/>
          </w:tcPr>
          <w:p>
            <w:pPr>
              <w:ind w:firstLine="0"/>
            </w:pPr>
            <w:r/>
            <w:r>
              <w:rPr>
                <w:rFonts w:ascii="Times New Roman" w:hAnsi="Times New Roman" w:eastAsia="宋体"/>
                <w:b w:val="0"/>
                <w:sz w:val="20"/>
              </w:rPr>
              <w:t>主结果</w:t>
            </w:r>
          </w:p>
        </w:tc>
      </w:tr>
    </w:tbl>
    <w:p/>
    <w:p>
      <w:pPr>
        <w:spacing w:line="360" w:lineRule="auto"/>
        <w:ind w:firstLine="420"/>
      </w:pPr>
      <w:r>
        <w:rPr>
          <w:rFonts w:ascii="Times New Roman" w:hAnsi="Times New Roman" w:eastAsia="宋体"/>
          <w:b/>
          <w:sz w:val="24"/>
        </w:rPr>
        <w:t>表 2 难例子集定位 IoU（占位示例）</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ind w:firstLine="0"/>
            </w:pPr>
            <w:r/>
            <w:r>
              <w:rPr>
                <w:rFonts w:ascii="Times New Roman" w:hAnsi="Times New Roman" w:eastAsia="宋体"/>
                <w:b/>
                <w:sz w:val="20"/>
              </w:rPr>
              <w:t>方法</w:t>
            </w:r>
          </w:p>
        </w:tc>
        <w:tc>
          <w:tcPr>
            <w:tcW w:type="dxa" w:w="2268"/>
          </w:tcPr>
          <w:p>
            <w:pPr>
              <w:ind w:firstLine="0"/>
            </w:pPr>
            <w:r/>
            <w:r>
              <w:rPr>
                <w:rFonts w:ascii="Times New Roman" w:hAnsi="Times New Roman" w:eastAsia="宋体"/>
                <w:b/>
                <w:sz w:val="20"/>
              </w:rPr>
              <w:t>不确定框 IoU</w:t>
            </w:r>
          </w:p>
        </w:tc>
        <w:tc>
          <w:tcPr>
            <w:tcW w:type="dxa" w:w="2268"/>
          </w:tcPr>
          <w:p>
            <w:pPr>
              <w:ind w:firstLine="0"/>
            </w:pPr>
            <w:r/>
            <w:r>
              <w:rPr>
                <w:rFonts w:ascii="Times New Roman" w:hAnsi="Times New Roman" w:eastAsia="宋体"/>
                <w:b/>
                <w:sz w:val="20"/>
              </w:rPr>
              <w:t>拥挤图 IoU</w:t>
            </w:r>
          </w:p>
        </w:tc>
        <w:tc>
          <w:tcPr>
            <w:tcW w:type="dxa" w:w="2268"/>
          </w:tcPr>
          <w:p>
            <w:pPr>
              <w:ind w:firstLine="0"/>
            </w:pPr>
            <w:r/>
            <w:r>
              <w:rPr>
                <w:rFonts w:ascii="Times New Roman" w:hAnsi="Times New Roman" w:eastAsia="宋体"/>
                <w:b/>
                <w:sz w:val="20"/>
              </w:rPr>
              <w:t>SAM 调用率</w:t>
            </w:r>
          </w:p>
        </w:tc>
      </w:tr>
      <w:tr>
        <w:tc>
          <w:tcPr>
            <w:tcW w:type="dxa" w:w="2268"/>
          </w:tcPr>
          <w:p>
            <w:pPr>
              <w:ind w:firstLine="0"/>
            </w:pPr>
            <w:r/>
            <w:r>
              <w:rPr>
                <w:rFonts w:ascii="Times New Roman" w:hAnsi="Times New Roman" w:eastAsia="宋体"/>
                <w:b w:val="0"/>
                <w:sz w:val="20"/>
              </w:rPr>
              <w:t>YOLO 原框</w:t>
            </w:r>
          </w:p>
        </w:tc>
        <w:tc>
          <w:tcPr>
            <w:tcW w:type="dxa" w:w="2268"/>
          </w:tcPr>
          <w:p>
            <w:pPr>
              <w:ind w:firstLine="0"/>
            </w:pPr>
            <w:r/>
            <w:r>
              <w:rPr>
                <w:rFonts w:ascii="Times New Roman" w:hAnsi="Times New Roman" w:eastAsia="宋体"/>
                <w:b w:val="0"/>
                <w:sz w:val="20"/>
              </w:rPr>
              <w:t>—</w:t>
            </w:r>
          </w:p>
        </w:tc>
        <w:tc>
          <w:tcPr>
            <w:tcW w:type="dxa" w:w="2268"/>
          </w:tcPr>
          <w:p>
            <w:pPr>
              <w:ind w:firstLine="0"/>
            </w:pPr>
            <w:r/>
            <w:r>
              <w:rPr>
                <w:rFonts w:ascii="Times New Roman" w:hAnsi="Times New Roman" w:eastAsia="宋体"/>
                <w:b w:val="0"/>
                <w:sz w:val="20"/>
              </w:rPr>
              <w:t>—</w:t>
            </w:r>
          </w:p>
        </w:tc>
        <w:tc>
          <w:tcPr>
            <w:tcW w:type="dxa" w:w="2268"/>
          </w:tcPr>
          <w:p>
            <w:pPr>
              <w:ind w:firstLine="0"/>
            </w:pPr>
            <w:r/>
            <w:r>
              <w:rPr>
                <w:rFonts w:ascii="Times New Roman" w:hAnsi="Times New Roman" w:eastAsia="宋体"/>
                <w:b w:val="0"/>
                <w:sz w:val="20"/>
              </w:rPr>
              <w:t>0%</w:t>
            </w:r>
          </w:p>
        </w:tc>
      </w:tr>
      <w:tr>
        <w:tc>
          <w:tcPr>
            <w:tcW w:type="dxa" w:w="2268"/>
          </w:tcPr>
          <w:p>
            <w:pPr>
              <w:ind w:firstLine="0"/>
            </w:pPr>
            <w:r/>
            <w:r>
              <w:rPr>
                <w:rFonts w:ascii="Times New Roman" w:hAnsi="Times New Roman" w:eastAsia="宋体"/>
                <w:b w:val="0"/>
                <w:sz w:val="20"/>
              </w:rPr>
              <w:t>全图 SAM</w:t>
            </w:r>
          </w:p>
        </w:tc>
        <w:tc>
          <w:tcPr>
            <w:tcW w:type="dxa" w:w="2268"/>
          </w:tcPr>
          <w:p>
            <w:pPr>
              <w:ind w:firstLine="0"/>
            </w:pPr>
            <w:r/>
            <w:r>
              <w:rPr>
                <w:rFonts w:ascii="Times New Roman" w:hAnsi="Times New Roman" w:eastAsia="宋体"/>
                <w:b w:val="0"/>
                <w:sz w:val="20"/>
              </w:rPr>
              <w:t>—</w:t>
            </w:r>
          </w:p>
        </w:tc>
        <w:tc>
          <w:tcPr>
            <w:tcW w:type="dxa" w:w="2268"/>
          </w:tcPr>
          <w:p>
            <w:pPr>
              <w:ind w:firstLine="0"/>
            </w:pPr>
            <w:r/>
            <w:r>
              <w:rPr>
                <w:rFonts w:ascii="Times New Roman" w:hAnsi="Times New Roman" w:eastAsia="宋体"/>
                <w:b w:val="0"/>
                <w:sz w:val="20"/>
              </w:rPr>
              <w:t>—</w:t>
            </w:r>
          </w:p>
        </w:tc>
        <w:tc>
          <w:tcPr>
            <w:tcW w:type="dxa" w:w="2268"/>
          </w:tcPr>
          <w:p>
            <w:pPr>
              <w:ind w:firstLine="0"/>
            </w:pPr>
            <w:r/>
            <w:r>
              <w:rPr>
                <w:rFonts w:ascii="Times New Roman" w:hAnsi="Times New Roman" w:eastAsia="宋体"/>
                <w:b w:val="0"/>
                <w:sz w:val="20"/>
              </w:rPr>
              <w:t>100%</w:t>
            </w:r>
          </w:p>
        </w:tc>
      </w:tr>
      <w:tr>
        <w:tc>
          <w:tcPr>
            <w:tcW w:type="dxa" w:w="2268"/>
          </w:tcPr>
          <w:p>
            <w:pPr>
              <w:ind w:firstLine="0"/>
            </w:pPr>
            <w:r/>
            <w:r>
              <w:rPr>
                <w:rFonts w:ascii="Times New Roman" w:hAnsi="Times New Roman" w:eastAsia="宋体"/>
                <w:b w:val="0"/>
                <w:sz w:val="20"/>
              </w:rPr>
              <w:t>难例 SAM（本文）</w:t>
            </w:r>
          </w:p>
        </w:tc>
        <w:tc>
          <w:tcPr>
            <w:tcW w:type="dxa" w:w="2268"/>
          </w:tcPr>
          <w:p>
            <w:pPr>
              <w:ind w:firstLine="0"/>
            </w:pPr>
            <w:r/>
            <w:r>
              <w:rPr>
                <w:rFonts w:ascii="Times New Roman" w:hAnsi="Times New Roman" w:eastAsia="宋体"/>
                <w:b w:val="0"/>
                <w:sz w:val="20"/>
              </w:rPr>
              <w:t>—</w:t>
            </w:r>
          </w:p>
        </w:tc>
        <w:tc>
          <w:tcPr>
            <w:tcW w:type="dxa" w:w="2268"/>
          </w:tcPr>
          <w:p>
            <w:pPr>
              <w:ind w:firstLine="0"/>
            </w:pPr>
            <w:r/>
            <w:r>
              <w:rPr>
                <w:rFonts w:ascii="Times New Roman" w:hAnsi="Times New Roman" w:eastAsia="宋体"/>
                <w:b w:val="0"/>
                <w:sz w:val="20"/>
              </w:rPr>
              <w:t>—</w:t>
            </w:r>
          </w:p>
        </w:tc>
        <w:tc>
          <w:tcPr>
            <w:tcW w:type="dxa" w:w="2268"/>
          </w:tcPr>
          <w:p>
            <w:pPr>
              <w:ind w:firstLine="0"/>
            </w:pPr>
            <w:r/>
            <w:r>
              <w:rPr>
                <w:rFonts w:ascii="Times New Roman" w:hAnsi="Times New Roman" w:eastAsia="宋体"/>
                <w:b w:val="0"/>
                <w:sz w:val="20"/>
              </w:rPr>
              <w:t>—</w:t>
            </w:r>
          </w:p>
        </w:tc>
      </w:tr>
    </w:tbl>
    <w:p/>
    <w:p>
      <w:pPr>
        <w:spacing w:line="360" w:lineRule="auto"/>
        <w:ind w:firstLine="420"/>
      </w:pPr>
      <w:r>
        <w:rPr>
          <w:rFonts w:ascii="Times New Roman" w:hAnsi="Times New Roman" w:eastAsia="宋体"/>
          <w:b/>
          <w:sz w:val="24"/>
        </w:rPr>
        <w:t>表 3 效率与质检（占位示例）</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ind w:firstLine="0"/>
            </w:pPr>
            <w:r/>
            <w:r>
              <w:rPr>
                <w:rFonts w:ascii="Times New Roman" w:hAnsi="Times New Roman" w:eastAsia="宋体"/>
                <w:b/>
                <w:sz w:val="20"/>
              </w:rPr>
              <w:t>方法</w:t>
            </w:r>
          </w:p>
        </w:tc>
        <w:tc>
          <w:tcPr>
            <w:tcW w:type="dxa" w:w="1814"/>
          </w:tcPr>
          <w:p>
            <w:pPr>
              <w:ind w:firstLine="0"/>
            </w:pPr>
            <w:r/>
            <w:r>
              <w:rPr>
                <w:rFonts w:ascii="Times New Roman" w:hAnsi="Times New Roman" w:eastAsia="宋体"/>
                <w:b/>
                <w:sz w:val="20"/>
              </w:rPr>
              <w:t>每图耗时(ms)</w:t>
            </w:r>
          </w:p>
        </w:tc>
        <w:tc>
          <w:tcPr>
            <w:tcW w:type="dxa" w:w="1814"/>
          </w:tcPr>
          <w:p>
            <w:pPr>
              <w:ind w:firstLine="0"/>
            </w:pPr>
            <w:r/>
            <w:r>
              <w:rPr>
                <w:rFonts w:ascii="Times New Roman" w:hAnsi="Times New Roman" w:eastAsia="宋体"/>
                <w:b/>
                <w:sz w:val="20"/>
              </w:rPr>
              <w:t>相对加速</w:t>
            </w:r>
          </w:p>
        </w:tc>
        <w:tc>
          <w:tcPr>
            <w:tcW w:type="dxa" w:w="1814"/>
          </w:tcPr>
          <w:p>
            <w:pPr>
              <w:ind w:firstLine="0"/>
            </w:pPr>
            <w:r/>
            <w:r>
              <w:rPr>
                <w:rFonts w:ascii="Times New Roman" w:hAnsi="Times New Roman" w:eastAsia="宋体"/>
                <w:b/>
                <w:sz w:val="20"/>
              </w:rPr>
              <w:t>可疑图召回</w:t>
            </w:r>
          </w:p>
        </w:tc>
        <w:tc>
          <w:tcPr>
            <w:tcW w:type="dxa" w:w="1814"/>
          </w:tcPr>
          <w:p>
            <w:pPr>
              <w:ind w:firstLine="0"/>
            </w:pPr>
            <w:r/>
            <w:r>
              <w:rPr>
                <w:rFonts w:ascii="Times New Roman" w:hAnsi="Times New Roman" w:eastAsia="宋体"/>
                <w:b/>
                <w:sz w:val="20"/>
              </w:rPr>
              <w:t>人工复核节省</w:t>
            </w:r>
          </w:p>
        </w:tc>
      </w:tr>
      <w:tr>
        <w:tc>
          <w:tcPr>
            <w:tcW w:type="dxa" w:w="1814"/>
          </w:tcPr>
          <w:p>
            <w:pPr>
              <w:ind w:firstLine="0"/>
            </w:pPr>
            <w:r/>
            <w:r>
              <w:rPr>
                <w:rFonts w:ascii="Times New Roman" w:hAnsi="Times New Roman" w:eastAsia="宋体"/>
                <w:b w:val="0"/>
                <w:sz w:val="20"/>
              </w:rPr>
              <w:t>YOLO</w:t>
            </w:r>
          </w:p>
        </w:tc>
        <w:tc>
          <w:tcPr>
            <w:tcW w:type="dxa" w:w="1814"/>
          </w:tcPr>
          <w:p>
            <w:pPr>
              <w:ind w:firstLine="0"/>
            </w:pPr>
            <w:r/>
            <w:r>
              <w:rPr>
                <w:rFonts w:ascii="Times New Roman" w:hAnsi="Times New Roman" w:eastAsia="宋体"/>
                <w:b w:val="0"/>
                <w:sz w:val="20"/>
              </w:rPr>
              <w:t>—</w:t>
            </w:r>
          </w:p>
        </w:tc>
        <w:tc>
          <w:tcPr>
            <w:tcW w:type="dxa" w:w="1814"/>
          </w:tcPr>
          <w:p>
            <w:pPr>
              <w:ind w:firstLine="0"/>
            </w:pPr>
            <w:r/>
            <w:r>
              <w:rPr>
                <w:rFonts w:ascii="Times New Roman" w:hAnsi="Times New Roman" w:eastAsia="宋体"/>
                <w:b w:val="0"/>
                <w:sz w:val="20"/>
              </w:rPr>
              <w:t>—</w:t>
            </w:r>
          </w:p>
        </w:tc>
        <w:tc>
          <w:tcPr>
            <w:tcW w:type="dxa" w:w="1814"/>
          </w:tcPr>
          <w:p>
            <w:pPr>
              <w:ind w:firstLine="0"/>
            </w:pPr>
            <w:r/>
            <w:r>
              <w:rPr>
                <w:rFonts w:ascii="Times New Roman" w:hAnsi="Times New Roman" w:eastAsia="宋体"/>
                <w:b w:val="0"/>
                <w:sz w:val="20"/>
              </w:rPr>
              <w:t>—</w:t>
            </w:r>
          </w:p>
        </w:tc>
        <w:tc>
          <w:tcPr>
            <w:tcW w:type="dxa" w:w="1814"/>
          </w:tcPr>
          <w:p>
            <w:pPr>
              <w:ind w:firstLine="0"/>
            </w:pPr>
            <w:r/>
            <w:r>
              <w:rPr>
                <w:rFonts w:ascii="Times New Roman" w:hAnsi="Times New Roman" w:eastAsia="宋体"/>
                <w:b w:val="0"/>
                <w:sz w:val="20"/>
              </w:rPr>
              <w:t>—</w:t>
            </w:r>
          </w:p>
        </w:tc>
      </w:tr>
      <w:tr>
        <w:tc>
          <w:tcPr>
            <w:tcW w:type="dxa" w:w="1814"/>
          </w:tcPr>
          <w:p>
            <w:pPr>
              <w:ind w:firstLine="0"/>
            </w:pPr>
            <w:r/>
            <w:r>
              <w:rPr>
                <w:rFonts w:ascii="Times New Roman" w:hAnsi="Times New Roman" w:eastAsia="宋体"/>
                <w:b w:val="0"/>
                <w:sz w:val="20"/>
              </w:rPr>
              <w:t>全图 SAM</w:t>
            </w:r>
          </w:p>
        </w:tc>
        <w:tc>
          <w:tcPr>
            <w:tcW w:type="dxa" w:w="1814"/>
          </w:tcPr>
          <w:p>
            <w:pPr>
              <w:ind w:firstLine="0"/>
            </w:pPr>
            <w:r/>
            <w:r>
              <w:rPr>
                <w:rFonts w:ascii="Times New Roman" w:hAnsi="Times New Roman" w:eastAsia="宋体"/>
                <w:b w:val="0"/>
                <w:sz w:val="20"/>
              </w:rPr>
              <w:t>—</w:t>
            </w:r>
          </w:p>
        </w:tc>
        <w:tc>
          <w:tcPr>
            <w:tcW w:type="dxa" w:w="1814"/>
          </w:tcPr>
          <w:p>
            <w:pPr>
              <w:ind w:firstLine="0"/>
            </w:pPr>
            <w:r/>
            <w:r>
              <w:rPr>
                <w:rFonts w:ascii="Times New Roman" w:hAnsi="Times New Roman" w:eastAsia="宋体"/>
                <w:b w:val="0"/>
                <w:sz w:val="20"/>
              </w:rPr>
              <w:t>1.0×</w:t>
            </w:r>
          </w:p>
        </w:tc>
        <w:tc>
          <w:tcPr>
            <w:tcW w:type="dxa" w:w="1814"/>
          </w:tcPr>
          <w:p>
            <w:pPr>
              <w:ind w:firstLine="0"/>
            </w:pPr>
            <w:r/>
            <w:r>
              <w:rPr>
                <w:rFonts w:ascii="Times New Roman" w:hAnsi="Times New Roman" w:eastAsia="宋体"/>
                <w:b w:val="0"/>
                <w:sz w:val="20"/>
              </w:rPr>
              <w:t>—</w:t>
            </w:r>
          </w:p>
        </w:tc>
        <w:tc>
          <w:tcPr>
            <w:tcW w:type="dxa" w:w="1814"/>
          </w:tcPr>
          <w:p>
            <w:pPr>
              <w:ind w:firstLine="0"/>
            </w:pPr>
            <w:r/>
            <w:r>
              <w:rPr>
                <w:rFonts w:ascii="Times New Roman" w:hAnsi="Times New Roman" w:eastAsia="宋体"/>
                <w:b w:val="0"/>
                <w:sz w:val="20"/>
              </w:rPr>
              <w:t>—</w:t>
            </w:r>
          </w:p>
        </w:tc>
      </w:tr>
      <w:tr>
        <w:tc>
          <w:tcPr>
            <w:tcW w:type="dxa" w:w="1814"/>
          </w:tcPr>
          <w:p>
            <w:pPr>
              <w:ind w:firstLine="0"/>
            </w:pPr>
            <w:r/>
            <w:r>
              <w:rPr>
                <w:rFonts w:ascii="Times New Roman" w:hAnsi="Times New Roman" w:eastAsia="宋体"/>
                <w:b w:val="0"/>
                <w:sz w:val="20"/>
              </w:rPr>
              <w:t>本文</w:t>
            </w:r>
          </w:p>
        </w:tc>
        <w:tc>
          <w:tcPr>
            <w:tcW w:type="dxa" w:w="1814"/>
          </w:tcPr>
          <w:p>
            <w:pPr>
              <w:ind w:firstLine="0"/>
            </w:pPr>
            <w:r/>
            <w:r>
              <w:rPr>
                <w:rFonts w:ascii="Times New Roman" w:hAnsi="Times New Roman" w:eastAsia="宋体"/>
                <w:b w:val="0"/>
                <w:sz w:val="20"/>
              </w:rPr>
              <w:t>—</w:t>
            </w:r>
          </w:p>
        </w:tc>
        <w:tc>
          <w:tcPr>
            <w:tcW w:type="dxa" w:w="1814"/>
          </w:tcPr>
          <w:p>
            <w:pPr>
              <w:ind w:firstLine="0"/>
            </w:pPr>
            <w:r/>
            <w:r>
              <w:rPr>
                <w:rFonts w:ascii="Times New Roman" w:hAnsi="Times New Roman" w:eastAsia="宋体"/>
                <w:b w:val="0"/>
                <w:sz w:val="20"/>
              </w:rPr>
              <w:t>—</w:t>
            </w:r>
          </w:p>
        </w:tc>
        <w:tc>
          <w:tcPr>
            <w:tcW w:type="dxa" w:w="1814"/>
          </w:tcPr>
          <w:p>
            <w:pPr>
              <w:ind w:firstLine="0"/>
            </w:pPr>
            <w:r/>
            <w:r>
              <w:rPr>
                <w:rFonts w:ascii="Times New Roman" w:hAnsi="Times New Roman" w:eastAsia="宋体"/>
                <w:b w:val="0"/>
                <w:sz w:val="20"/>
              </w:rPr>
              <w:t>—</w:t>
            </w:r>
          </w:p>
        </w:tc>
        <w:tc>
          <w:tcPr>
            <w:tcW w:type="dxa" w:w="1814"/>
          </w:tcPr>
          <w:p>
            <w:pPr>
              <w:ind w:firstLine="0"/>
            </w:pPr>
            <w:r/>
            <w:r>
              <w:rPr>
                <w:rFonts w:ascii="Times New Roman" w:hAnsi="Times New Roman" w:eastAsia="宋体"/>
                <w:b w:val="0"/>
                <w:sz w:val="20"/>
              </w:rPr>
              <w:t>—</w:t>
            </w:r>
          </w:p>
        </w:tc>
      </w:tr>
    </w:tbl>
    <w:p/>
    <w:p>
      <w:pPr>
        <w:spacing w:line="360" w:lineRule="auto"/>
        <w:ind w:firstLine="420"/>
      </w:pPr>
      <w:r>
        <w:rPr>
          <w:rFonts w:ascii="Times New Roman" w:hAnsi="Times New Roman" w:eastAsia="宋体"/>
          <w:b/>
          <w:sz w:val="24"/>
        </w:rPr>
        <w:t>定性结果：</w:t>
      </w:r>
      <w:r>
        <w:rPr>
          <w:rFonts w:ascii="Times New Roman" w:hAnsi="Times New Roman" w:eastAsia="宋体"/>
          <w:sz w:val="24"/>
        </w:rPr>
        <w:t xml:space="preserve"> 建议展示（1）简单场景 YOLO 已足够；（2）遮挡/粘连下 SAM 框更贴合；（3）LLM 报告指出漏检风险图并给出复核建议。工程已支持 </w:t>
      </w:r>
      <w:r>
        <w:rPr>
          <w:rFonts w:ascii="Consolas" w:hAnsi="Consolas" w:eastAsia="宋体"/>
          <w:sz w:val="24"/>
        </w:rPr>
        <w:t>vis/</w:t>
      </w:r>
      <w:r>
        <w:rPr>
          <w:rFonts w:ascii="Times New Roman" w:hAnsi="Times New Roman" w:eastAsia="宋体"/>
          <w:sz w:val="24"/>
        </w:rPr>
        <w:t>、</w:t>
      </w:r>
      <w:r>
        <w:rPr>
          <w:rFonts w:ascii="Consolas" w:hAnsi="Consolas" w:eastAsia="宋体"/>
          <w:sz w:val="24"/>
        </w:rPr>
        <w:t>report.md</w:t>
      </w:r>
      <w:r>
        <w:rPr>
          <w:rFonts w:ascii="Times New Roman" w:hAnsi="Times New Roman" w:eastAsia="宋体"/>
          <w:sz w:val="24"/>
        </w:rPr>
        <w:t xml:space="preserve"> 输出，便于制图。</w:t>
      </w:r>
    </w:p>
    <w:p>
      <w:pPr>
        <w:pStyle w:val="Heading3"/>
        <w:spacing w:before="240" w:after="120"/>
        <w:ind w:firstLine="0"/>
      </w:pPr>
      <w:r>
        <w:rPr>
          <w:rFonts w:ascii="Times New Roman" w:hAnsi="Times New Roman" w:eastAsia="黑体"/>
          <w:b/>
          <w:sz w:val="24"/>
        </w:rPr>
        <w:t>4.5 统计分析建议</w:t>
      </w:r>
    </w:p>
    <w:p>
      <w:pPr>
        <w:spacing w:line="360" w:lineRule="auto"/>
        <w:ind w:firstLine="420"/>
      </w:pPr>
      <w:r>
        <w:rPr>
          <w:rFonts w:ascii="Times New Roman" w:hAnsi="Times New Roman" w:eastAsia="宋体"/>
          <w:sz w:val="24"/>
        </w:rPr>
        <w:t>对主要指标进行至少 3 次不同随机种子训练，报告均值与标准差；对关键对比做配对检验或 bootstrap 置信区间。田间数据应按地块做交叉验证，防止“同一垄沟泄漏”导致虚高。</w:t>
      </w:r>
    </w:p>
    <w:p>
      <w:pPr>
        <w:pStyle w:val="Heading3"/>
        <w:spacing w:before="240" w:after="120"/>
        <w:ind w:firstLine="0"/>
      </w:pPr>
      <w:r>
        <w:rPr>
          <w:rFonts w:ascii="Times New Roman" w:hAnsi="Times New Roman" w:eastAsia="黑体"/>
          <w:b/>
          <w:sz w:val="24"/>
        </w:rPr>
        <w:t>4.6 分层错误分析协议</w:t>
      </w:r>
    </w:p>
    <w:p>
      <w:pPr>
        <w:spacing w:line="360" w:lineRule="auto"/>
        <w:ind w:firstLine="420"/>
      </w:pPr>
      <w:r>
        <w:rPr>
          <w:rFonts w:ascii="Times New Roman" w:hAnsi="Times New Roman" w:eastAsia="宋体"/>
          <w:sz w:val="24"/>
        </w:rPr>
        <w:t>除汇总指标外，建议建立错误分类学，以便讨论具有农艺含义：</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ind w:firstLine="0"/>
            </w:pPr>
            <w:r/>
            <w:r>
              <w:rPr>
                <w:rFonts w:ascii="Times New Roman" w:hAnsi="Times New Roman" w:eastAsia="宋体"/>
                <w:b/>
                <w:sz w:val="20"/>
              </w:rPr>
              <w:t>错误类型</w:t>
            </w:r>
          </w:p>
        </w:tc>
        <w:tc>
          <w:tcPr>
            <w:tcW w:type="dxa" w:w="2268"/>
          </w:tcPr>
          <w:p>
            <w:pPr>
              <w:ind w:firstLine="0"/>
            </w:pPr>
            <w:r/>
            <w:r>
              <w:rPr>
                <w:rFonts w:ascii="Times New Roman" w:hAnsi="Times New Roman" w:eastAsia="宋体"/>
                <w:b/>
                <w:sz w:val="20"/>
              </w:rPr>
              <w:t>定义</w:t>
            </w:r>
          </w:p>
        </w:tc>
        <w:tc>
          <w:tcPr>
            <w:tcW w:type="dxa" w:w="2268"/>
          </w:tcPr>
          <w:p>
            <w:pPr>
              <w:ind w:firstLine="0"/>
            </w:pPr>
            <w:r/>
            <w:r>
              <w:rPr>
                <w:rFonts w:ascii="Times New Roman" w:hAnsi="Times New Roman" w:eastAsia="宋体"/>
                <w:b/>
                <w:sz w:val="20"/>
              </w:rPr>
              <w:t>可能后果</w:t>
            </w:r>
          </w:p>
        </w:tc>
        <w:tc>
          <w:tcPr>
            <w:tcW w:type="dxa" w:w="2268"/>
          </w:tcPr>
          <w:p>
            <w:pPr>
              <w:ind w:firstLine="0"/>
            </w:pPr>
            <w:r/>
            <w:r>
              <w:rPr>
                <w:rFonts w:ascii="Times New Roman" w:hAnsi="Times New Roman" w:eastAsia="宋体"/>
                <w:b/>
                <w:sz w:val="20"/>
              </w:rPr>
              <w:t>优先缓解模块</w:t>
            </w:r>
          </w:p>
        </w:tc>
      </w:tr>
      <w:tr>
        <w:tc>
          <w:tcPr>
            <w:tcW w:type="dxa" w:w="2268"/>
          </w:tcPr>
          <w:p>
            <w:pPr>
              <w:ind w:firstLine="0"/>
            </w:pPr>
            <w:r/>
            <w:r>
              <w:rPr>
                <w:rFonts w:ascii="Times New Roman" w:hAnsi="Times New Roman" w:eastAsia="宋体"/>
                <w:b w:val="0"/>
                <w:sz w:val="20"/>
              </w:rPr>
              <w:t>伤苗型假阳性</w:t>
            </w:r>
          </w:p>
        </w:tc>
        <w:tc>
          <w:tcPr>
            <w:tcW w:type="dxa" w:w="2268"/>
          </w:tcPr>
          <w:p>
            <w:pPr>
              <w:ind w:firstLine="0"/>
            </w:pPr>
            <w:r/>
            <w:r>
              <w:rPr>
                <w:rFonts w:ascii="Times New Roman" w:hAnsi="Times New Roman" w:eastAsia="宋体"/>
                <w:b w:val="0"/>
                <w:sz w:val="20"/>
              </w:rPr>
              <w:t>把玉米苗判为杂草</w:t>
            </w:r>
          </w:p>
        </w:tc>
        <w:tc>
          <w:tcPr>
            <w:tcW w:type="dxa" w:w="2268"/>
          </w:tcPr>
          <w:p>
            <w:pPr>
              <w:ind w:firstLine="0"/>
            </w:pPr>
            <w:r/>
            <w:r>
              <w:rPr>
                <w:rFonts w:ascii="Times New Roman" w:hAnsi="Times New Roman" w:eastAsia="宋体"/>
                <w:b w:val="0"/>
                <w:sz w:val="20"/>
              </w:rPr>
              <w:t>误喷/误除</w:t>
            </w:r>
          </w:p>
        </w:tc>
        <w:tc>
          <w:tcPr>
            <w:tcW w:type="dxa" w:w="2268"/>
          </w:tcPr>
          <w:p>
            <w:pPr>
              <w:ind w:firstLine="0"/>
            </w:pPr>
            <w:r/>
            <w:r>
              <w:rPr>
                <w:rFonts w:ascii="Times New Roman" w:hAnsi="Times New Roman" w:eastAsia="宋体"/>
                <w:b w:val="0"/>
                <w:sz w:val="20"/>
              </w:rPr>
              <w:t>YOLO 分类与阈值</w:t>
            </w:r>
          </w:p>
        </w:tc>
      </w:tr>
      <w:tr>
        <w:tc>
          <w:tcPr>
            <w:tcW w:type="dxa" w:w="2268"/>
          </w:tcPr>
          <w:p>
            <w:pPr>
              <w:ind w:firstLine="0"/>
            </w:pPr>
            <w:r/>
            <w:r>
              <w:rPr>
                <w:rFonts w:ascii="Times New Roman" w:hAnsi="Times New Roman" w:eastAsia="宋体"/>
                <w:b w:val="0"/>
                <w:sz w:val="20"/>
              </w:rPr>
              <w:t>漏草型假阴性</w:t>
            </w:r>
          </w:p>
        </w:tc>
        <w:tc>
          <w:tcPr>
            <w:tcW w:type="dxa" w:w="2268"/>
          </w:tcPr>
          <w:p>
            <w:pPr>
              <w:ind w:firstLine="0"/>
            </w:pPr>
            <w:r/>
            <w:r>
              <w:rPr>
                <w:rFonts w:ascii="Times New Roman" w:hAnsi="Times New Roman" w:eastAsia="宋体"/>
                <w:b w:val="0"/>
                <w:sz w:val="20"/>
              </w:rPr>
              <w:t>杂草未检出</w:t>
            </w:r>
          </w:p>
        </w:tc>
        <w:tc>
          <w:tcPr>
            <w:tcW w:type="dxa" w:w="2268"/>
          </w:tcPr>
          <w:p>
            <w:pPr>
              <w:ind w:firstLine="0"/>
            </w:pPr>
            <w:r/>
            <w:r>
              <w:rPr>
                <w:rFonts w:ascii="Times New Roman" w:hAnsi="Times New Roman" w:eastAsia="宋体"/>
                <w:b w:val="0"/>
                <w:sz w:val="20"/>
              </w:rPr>
              <w:t>漏防</w:t>
            </w:r>
          </w:p>
        </w:tc>
        <w:tc>
          <w:tcPr>
            <w:tcW w:type="dxa" w:w="2268"/>
          </w:tcPr>
          <w:p>
            <w:pPr>
              <w:ind w:firstLine="0"/>
            </w:pPr>
            <w:r/>
            <w:r>
              <w:rPr>
                <w:rFonts w:ascii="Times New Roman" w:hAnsi="Times New Roman" w:eastAsia="宋体"/>
                <w:b w:val="0"/>
                <w:sz w:val="20"/>
              </w:rPr>
              <w:t>数据增广、难例回灌</w:t>
            </w:r>
          </w:p>
        </w:tc>
      </w:tr>
      <w:tr>
        <w:tc>
          <w:tcPr>
            <w:tcW w:type="dxa" w:w="2268"/>
          </w:tcPr>
          <w:p>
            <w:pPr>
              <w:ind w:firstLine="0"/>
            </w:pPr>
            <w:r/>
            <w:r>
              <w:rPr>
                <w:rFonts w:ascii="Times New Roman" w:hAnsi="Times New Roman" w:eastAsia="宋体"/>
                <w:b w:val="0"/>
                <w:sz w:val="20"/>
              </w:rPr>
              <w:t>类间混淆</w:t>
            </w:r>
          </w:p>
        </w:tc>
        <w:tc>
          <w:tcPr>
            <w:tcW w:type="dxa" w:w="2268"/>
          </w:tcPr>
          <w:p>
            <w:pPr>
              <w:ind w:firstLine="0"/>
            </w:pPr>
            <w:r/>
            <w:r>
              <w:rPr>
                <w:rFonts w:ascii="Times New Roman" w:hAnsi="Times New Roman" w:eastAsia="宋体"/>
                <w:b w:val="0"/>
                <w:sz w:val="20"/>
              </w:rPr>
              <w:t>阔叶↔禾本科</w:t>
            </w:r>
          </w:p>
        </w:tc>
        <w:tc>
          <w:tcPr>
            <w:tcW w:type="dxa" w:w="2268"/>
          </w:tcPr>
          <w:p>
            <w:pPr>
              <w:ind w:firstLine="0"/>
            </w:pPr>
            <w:r/>
            <w:r>
              <w:rPr>
                <w:rFonts w:ascii="Times New Roman" w:hAnsi="Times New Roman" w:eastAsia="宋体"/>
                <w:b w:val="0"/>
                <w:sz w:val="20"/>
              </w:rPr>
              <w:t>药剂选择不当</w:t>
            </w:r>
          </w:p>
        </w:tc>
        <w:tc>
          <w:tcPr>
            <w:tcW w:type="dxa" w:w="2268"/>
          </w:tcPr>
          <w:p>
            <w:pPr>
              <w:ind w:firstLine="0"/>
            </w:pPr>
            <w:r/>
            <w:r>
              <w:rPr>
                <w:rFonts w:ascii="Times New Roman" w:hAnsi="Times New Roman" w:eastAsia="宋体"/>
                <w:b w:val="0"/>
                <w:sz w:val="20"/>
              </w:rPr>
              <w:t>细粒度样本与难例</w:t>
            </w:r>
          </w:p>
        </w:tc>
      </w:tr>
      <w:tr>
        <w:tc>
          <w:tcPr>
            <w:tcW w:type="dxa" w:w="2268"/>
          </w:tcPr>
          <w:p>
            <w:pPr>
              <w:ind w:firstLine="0"/>
            </w:pPr>
            <w:r/>
            <w:r>
              <w:rPr>
                <w:rFonts w:ascii="Times New Roman" w:hAnsi="Times New Roman" w:eastAsia="宋体"/>
                <w:b w:val="0"/>
                <w:sz w:val="20"/>
              </w:rPr>
              <w:t>定位漂移</w:t>
            </w:r>
          </w:p>
        </w:tc>
        <w:tc>
          <w:tcPr>
            <w:tcW w:type="dxa" w:w="2268"/>
          </w:tcPr>
          <w:p>
            <w:pPr>
              <w:ind w:firstLine="0"/>
            </w:pPr>
            <w:r/>
            <w:r>
              <w:rPr>
                <w:rFonts w:ascii="Times New Roman" w:hAnsi="Times New Roman" w:eastAsia="宋体"/>
                <w:b w:val="0"/>
                <w:sz w:val="20"/>
              </w:rPr>
              <w:t>类别对但框松/偏</w:t>
            </w:r>
          </w:p>
        </w:tc>
        <w:tc>
          <w:tcPr>
            <w:tcW w:type="dxa" w:w="2268"/>
          </w:tcPr>
          <w:p>
            <w:pPr>
              <w:ind w:firstLine="0"/>
            </w:pPr>
            <w:r/>
            <w:r>
              <w:rPr>
                <w:rFonts w:ascii="Times New Roman" w:hAnsi="Times New Roman" w:eastAsia="宋体"/>
                <w:b w:val="0"/>
                <w:sz w:val="20"/>
              </w:rPr>
              <w:t>处方图面积误差</w:t>
            </w:r>
          </w:p>
        </w:tc>
        <w:tc>
          <w:tcPr>
            <w:tcW w:type="dxa" w:w="2268"/>
          </w:tcPr>
          <w:p>
            <w:pPr>
              <w:ind w:firstLine="0"/>
            </w:pPr>
            <w:r/>
            <w:r>
              <w:rPr>
                <w:rFonts w:ascii="Times New Roman" w:hAnsi="Times New Roman" w:eastAsia="宋体"/>
                <w:b w:val="0"/>
                <w:sz w:val="20"/>
              </w:rPr>
              <w:t>SAM 精炼</w:t>
            </w:r>
          </w:p>
        </w:tc>
      </w:tr>
      <w:tr>
        <w:tc>
          <w:tcPr>
            <w:tcW w:type="dxa" w:w="2268"/>
          </w:tcPr>
          <w:p>
            <w:pPr>
              <w:ind w:firstLine="0"/>
            </w:pPr>
            <w:r/>
            <w:r>
              <w:rPr>
                <w:rFonts w:ascii="Times New Roman" w:hAnsi="Times New Roman" w:eastAsia="宋体"/>
                <w:b w:val="0"/>
                <w:sz w:val="20"/>
              </w:rPr>
              <w:t>空检漏检</w:t>
            </w:r>
          </w:p>
        </w:tc>
        <w:tc>
          <w:tcPr>
            <w:tcW w:type="dxa" w:w="2268"/>
          </w:tcPr>
          <w:p>
            <w:pPr>
              <w:ind w:firstLine="0"/>
            </w:pPr>
            <w:r/>
            <w:r>
              <w:rPr>
                <w:rFonts w:ascii="Times New Roman" w:hAnsi="Times New Roman" w:eastAsia="宋体"/>
                <w:b w:val="0"/>
                <w:sz w:val="20"/>
              </w:rPr>
              <w:t>有目标但整图无框</w:t>
            </w:r>
          </w:p>
        </w:tc>
        <w:tc>
          <w:tcPr>
            <w:tcW w:type="dxa" w:w="2268"/>
          </w:tcPr>
          <w:p>
            <w:pPr>
              <w:ind w:firstLine="0"/>
            </w:pPr>
            <w:r/>
            <w:r>
              <w:rPr>
                <w:rFonts w:ascii="Times New Roman" w:hAnsi="Times New Roman" w:eastAsia="宋体"/>
                <w:b w:val="0"/>
                <w:sz w:val="20"/>
              </w:rPr>
              <w:t>整片漏作业</w:t>
            </w:r>
          </w:p>
        </w:tc>
        <w:tc>
          <w:tcPr>
            <w:tcW w:type="dxa" w:w="2268"/>
          </w:tcPr>
          <w:p>
            <w:pPr>
              <w:ind w:firstLine="0"/>
            </w:pPr>
            <w:r/>
            <w:r>
              <w:rPr>
                <w:rFonts w:ascii="Times New Roman" w:hAnsi="Times New Roman" w:eastAsia="宋体"/>
                <w:b w:val="0"/>
                <w:sz w:val="20"/>
              </w:rPr>
              <w:t>人工/LLM 抽检</w:t>
            </w:r>
          </w:p>
        </w:tc>
      </w:tr>
    </w:tbl>
    <w:p/>
    <w:p>
      <w:pPr>
        <w:spacing w:line="360" w:lineRule="auto"/>
        <w:ind w:firstLine="420"/>
      </w:pPr>
      <w:r>
        <w:rPr>
          <w:rFonts w:ascii="Times New Roman" w:hAnsi="Times New Roman" w:eastAsia="宋体"/>
          <w:sz w:val="24"/>
        </w:rPr>
        <w:t>论文结果部分应按上述类型统计混淆矩阵与典型案例图。对“定位漂移”子集单独报告 IoU 提升，才能证明 SAM 模块的不可替代性；对“伤苗型假阳性”应优先于单纯追求 mAP 提升来讨论，因为其田间代价更高。</w:t>
      </w:r>
    </w:p>
    <w:p>
      <w:pPr>
        <w:pStyle w:val="Heading3"/>
        <w:spacing w:before="240" w:after="120"/>
        <w:ind w:firstLine="0"/>
      </w:pPr>
      <w:r>
        <w:rPr>
          <w:rFonts w:ascii="Times New Roman" w:hAnsi="Times New Roman" w:eastAsia="黑体"/>
          <w:b/>
          <w:sz w:val="24"/>
        </w:rPr>
        <w:t>4.7 标注一致性与数据质控</w:t>
      </w:r>
    </w:p>
    <w:p>
      <w:pPr>
        <w:spacing w:line="360" w:lineRule="auto"/>
        <w:ind w:firstLine="420"/>
      </w:pPr>
      <w:r>
        <w:rPr>
          <w:rFonts w:ascii="Times New Roman" w:hAnsi="Times New Roman" w:eastAsia="宋体"/>
          <w:sz w:val="24"/>
        </w:rPr>
        <w:t>二区审稿人通常关注标注质量。建议报告：（1）双人标注子集上的框级 mIoU 与类别一致性 Cohen’s κ；（2）困难属性（遮挡≥50%、目标像素面积&lt;32² 等）占比；（3）Label Studio 导出类别顺序与训练配置校验日志。若使用 SAM 预标注，必须声明人工修订比例，避免把模型输出当金标准造成循环自证。</w:t>
      </w:r>
    </w:p>
    <w:p>
      <w:pPr>
        <w:pStyle w:val="Heading3"/>
        <w:spacing w:before="240" w:after="120"/>
        <w:ind w:firstLine="0"/>
      </w:pPr>
      <w:r>
        <w:rPr>
          <w:rFonts w:ascii="Times New Roman" w:hAnsi="Times New Roman" w:eastAsia="黑体"/>
          <w:b/>
          <w:sz w:val="24"/>
        </w:rPr>
        <w:t>4.8 预期结果叙述模板（供实测后改写）</w:t>
      </w:r>
    </w:p>
    <w:p>
      <w:pPr>
        <w:spacing w:line="360" w:lineRule="auto"/>
        <w:ind w:firstLine="420"/>
      </w:pPr>
      <w:r>
        <w:rPr>
          <w:rFonts w:ascii="Times New Roman" w:hAnsi="Times New Roman" w:eastAsia="宋体"/>
          <w:sz w:val="24"/>
        </w:rPr>
        <w:t>实测完成后，结果叙述建议遵循“先总体、后分层、再效率、最后质检”的顺序：首先给出表 1 表明难例 SAM 在 mAP50-95 上相对纯 YOLO 的变化（若分类未改，mAP 变化应主要来自定位相关阈值效应，需诚实解释）；其次在表 2 证明精炼子集 IoU 显著提升且调用率远低于全图 SAM；再次在表 3 给出时延与费用；最后用人工评估说明 LLM 报告可提高复核效率但不改变检测分数。若某项提升不显著，应在讨论中分析阈值过严、提示框质量差或掩膜碎裂等原因，而不是只报正向结果。</w:t>
      </w:r>
    </w:p>
    <w:p>
      <w:pPr>
        <w:pStyle w:val="Heading2"/>
        <w:spacing w:before="240" w:after="120"/>
        <w:ind w:firstLine="0"/>
      </w:pPr>
      <w:r>
        <w:rPr>
          <w:rFonts w:ascii="Times New Roman" w:hAnsi="Times New Roman" w:eastAsia="黑体"/>
          <w:b/>
          <w:sz w:val="28"/>
        </w:rPr>
        <w:t>5 讨论</w:t>
      </w:r>
    </w:p>
    <w:p>
      <w:pPr>
        <w:pStyle w:val="Heading3"/>
        <w:spacing w:before="240" w:after="120"/>
        <w:ind w:firstLine="0"/>
      </w:pPr>
      <w:r>
        <w:rPr>
          <w:rFonts w:ascii="Times New Roman" w:hAnsi="Times New Roman" w:eastAsia="黑体"/>
          <w:b/>
          <w:sz w:val="24"/>
        </w:rPr>
        <w:t>5.1 为什么必须职责解耦</w:t>
      </w:r>
    </w:p>
    <w:p>
      <w:pPr>
        <w:spacing w:line="360" w:lineRule="auto"/>
        <w:ind w:firstLine="420"/>
      </w:pPr>
      <w:r>
        <w:rPr>
          <w:rFonts w:ascii="Times New Roman" w:hAnsi="Times New Roman" w:eastAsia="宋体"/>
          <w:sz w:val="24"/>
        </w:rPr>
        <w:t>在多模型系统中，若允许 SAM 或 LLM 修改类别，短期展示效果可能“更好看”，但会破坏科学评价与工程追责：一旦出现误喷雾或漏除草，无法判断错误来自检测器、分割器还是语言层。本文把 mAP 验收锚定在 YOLO，把几何精炼与语言质检分别度量，更符合可审计智能系统的要求。</w:t>
      </w:r>
    </w:p>
    <w:p>
      <w:pPr>
        <w:pStyle w:val="Heading3"/>
        <w:spacing w:before="240" w:after="120"/>
        <w:ind w:firstLine="0"/>
      </w:pPr>
      <w:r>
        <w:rPr>
          <w:rFonts w:ascii="Times New Roman" w:hAnsi="Times New Roman" w:eastAsia="黑体"/>
          <w:b/>
          <w:sz w:val="24"/>
        </w:rPr>
        <w:t>5.2 难例驱动的成本意义</w:t>
      </w:r>
    </w:p>
    <w:p>
      <w:pPr>
        <w:spacing w:line="360" w:lineRule="auto"/>
        <w:ind w:firstLine="420"/>
      </w:pPr>
      <w:r>
        <w:rPr>
          <w:rFonts w:ascii="Times New Roman" w:hAnsi="Times New Roman" w:eastAsia="宋体"/>
          <w:sz w:val="24"/>
        </w:rPr>
        <w:t>SAM 推理显著重于 YOLO。若田间每日处理数万张图像，全量分割既不经济也不必要。难例分数把预算导向不确定与拥挤区域，等价于在精度–成本平面上选择工作点。阈值 \((\ell,h,\theta_H)\) 可根据植保窗口紧急程度动态调整：作业高峰可提高阈值以降低调用率，科研标注阶段可降低阈值以提升召回。</w:t>
      </w:r>
    </w:p>
    <w:p>
      <w:pPr>
        <w:pStyle w:val="Heading3"/>
        <w:spacing w:before="240" w:after="120"/>
        <w:ind w:firstLine="0"/>
      </w:pPr>
      <w:r>
        <w:rPr>
          <w:rFonts w:ascii="Times New Roman" w:hAnsi="Times New Roman" w:eastAsia="黑体"/>
          <w:b/>
          <w:sz w:val="24"/>
        </w:rPr>
        <w:t>5.3 LLM 的边界</w:t>
      </w:r>
    </w:p>
    <w:p>
      <w:pPr>
        <w:spacing w:line="360" w:lineRule="auto"/>
        <w:ind w:firstLine="420"/>
      </w:pPr>
      <w:r>
        <w:rPr>
          <w:rFonts w:ascii="Times New Roman" w:hAnsi="Times New Roman" w:eastAsia="宋体"/>
          <w:sz w:val="24"/>
        </w:rPr>
        <w:t>LLM 擅长归纳与表达，但不应被当作检测器。本文仅输入摘要并禁止编造坐标，是降低幻觉的工程约束。未来可引入检索增强（当地草谱、农药标签知识库）以提升建议专业性，但仍需人工确认高风险操作。实践中还应防止两类误用：一是把报告中的定性措辞直接当作自动喷雾开关；二是在摘要被过度截断时，仍要求模型给出精细到垄行的结论。前者属于决策越权，后者属于信息不足下的过度推断。合理用法是：LLM 输出“哪些图要看、可能有什么风险、建议如何复核”，人完成最终确认。对科研论文而言，报告质量应用独立标注的质检标签来评估，而不是用检测 mAP 间接证明。</w:t>
      </w:r>
    </w:p>
    <w:p>
      <w:pPr>
        <w:pStyle w:val="Heading3"/>
        <w:spacing w:before="240" w:after="120"/>
        <w:ind w:firstLine="0"/>
      </w:pPr>
      <w:r>
        <w:rPr>
          <w:rFonts w:ascii="Times New Roman" w:hAnsi="Times New Roman" w:eastAsia="黑体"/>
          <w:b/>
          <w:sz w:val="24"/>
        </w:rPr>
        <w:t>5.4 类别体系与数据质量</w:t>
      </w:r>
    </w:p>
    <w:p>
      <w:pPr>
        <w:spacing w:line="360" w:lineRule="auto"/>
        <w:ind w:firstLine="420"/>
      </w:pPr>
      <w:r>
        <w:rPr>
          <w:rFonts w:ascii="Times New Roman" w:hAnsi="Times New Roman" w:eastAsia="宋体"/>
          <w:sz w:val="24"/>
        </w:rPr>
        <w:t xml:space="preserve">农业检测论文的常见失败点并非网络结构，而是类别定义漂移与标注不一致。Label Studio 导出顺序与 </w:t>
      </w:r>
      <w:r>
        <w:rPr>
          <w:rFonts w:ascii="Consolas" w:hAnsi="Consolas" w:eastAsia="宋体"/>
          <w:sz w:val="24"/>
        </w:rPr>
        <w:t>field.yaml</w:t>
      </w:r>
      <w:r>
        <w:rPr>
          <w:rFonts w:ascii="Times New Roman" w:hAnsi="Times New Roman" w:eastAsia="宋体"/>
          <w:sz w:val="24"/>
        </w:rPr>
        <w:t xml:space="preserve"> 不一致时，模型会“学错名字”。建议在数据管道中强制校验 </w:t>
      </w:r>
      <w:r>
        <w:rPr>
          <w:rFonts w:ascii="Consolas" w:hAnsi="Consolas" w:eastAsia="宋体"/>
          <w:sz w:val="24"/>
        </w:rPr>
        <w:t>classes.txt</w:t>
      </w:r>
      <w:r>
        <w:rPr>
          <w:rFonts w:ascii="Times New Roman" w:hAnsi="Times New Roman" w:eastAsia="宋体"/>
          <w:sz w:val="24"/>
        </w:rPr>
        <w:t xml:space="preserve"> 与训练配置的双射关系，并在论文中明确类别操作定义（形态学特征与生育期范围）。以本项目三类体系为例：玉米苗强调作物行内目标与叶形特征；阔叶杂草覆盖叶片宽阔、叶脉网状的常见田间杂草集合；禾本科杂草覆盖与作物苗期更易混淆的窄叶类型。若某地区优势杂草物种特殊，应在不破坏评价可比性的前提下增加子类，或在讨论中声明超类合并规则，避免审稿阶段因类别含混被质疑。</w:t>
      </w:r>
    </w:p>
    <w:p>
      <w:pPr>
        <w:pStyle w:val="Heading3"/>
        <w:spacing w:before="240" w:after="120"/>
        <w:ind w:firstLine="0"/>
      </w:pPr>
      <w:r>
        <w:rPr>
          <w:rFonts w:ascii="Times New Roman" w:hAnsi="Times New Roman" w:eastAsia="黑体"/>
          <w:b/>
          <w:sz w:val="24"/>
        </w:rPr>
        <w:t>5.5 伦理、安全与部署</w:t>
      </w:r>
    </w:p>
    <w:p>
      <w:pPr>
        <w:spacing w:line="360" w:lineRule="auto"/>
        <w:ind w:firstLine="420"/>
      </w:pPr>
      <w:r>
        <w:rPr>
          <w:rFonts w:ascii="Times New Roman" w:hAnsi="Times New Roman" w:eastAsia="宋体"/>
          <w:sz w:val="24"/>
        </w:rPr>
        <w:t>田间数据可能含地理位置与农户信息，摘要上传云端 LLM 前应做脱敏与合规评估；API 密钥不得硬编码入库。边缘部署可仅运行 YOLO，把 SAM/LLM 放在云端或工位复核节点，形成端–边–云协同。</w:t>
      </w:r>
    </w:p>
    <w:p>
      <w:pPr>
        <w:pStyle w:val="Heading3"/>
        <w:spacing w:before="240" w:after="120"/>
        <w:ind w:firstLine="0"/>
      </w:pPr>
      <w:r>
        <w:rPr>
          <w:rFonts w:ascii="Times New Roman" w:hAnsi="Times New Roman" w:eastAsia="黑体"/>
          <w:b/>
          <w:sz w:val="24"/>
        </w:rPr>
        <w:t>5.6 对标二区期刊的差距与补强清单</w:t>
      </w:r>
    </w:p>
    <w:p>
      <w:pPr>
        <w:spacing w:line="360" w:lineRule="auto"/>
        <w:ind w:firstLine="420"/>
      </w:pPr>
      <w:r>
        <w:rPr>
          <w:rFonts w:ascii="Times New Roman" w:hAnsi="Times New Roman" w:eastAsia="宋体"/>
          <w:sz w:val="24"/>
        </w:rPr>
        <w:t>要达到计算机+农业交叉方向常见二区期刊（如 *Computers and Electronics in Agriculture*、*Biosystems Engineering*、部分 Remote Sensing/农业信息类期刊）的审稿预期，通常需要：</w:t>
      </w:r>
    </w:p>
    <w:p>
      <w:pPr>
        <w:pStyle w:val="ListBullet"/>
        <w:ind w:firstLine="0"/>
      </w:pPr>
      <w:r>
        <w:rPr>
          <w:rFonts w:ascii="Times New Roman" w:hAnsi="Times New Roman" w:eastAsia="宋体"/>
          <w:b/>
          <w:sz w:val="24"/>
        </w:rPr>
        <w:t>足够规模且划分严格的真实数据集</w:t>
      </w:r>
      <w:r>
        <w:rPr>
          <w:rFonts w:ascii="Times New Roman" w:hAnsi="Times New Roman" w:eastAsia="宋体"/>
          <w:sz w:val="24"/>
        </w:rPr>
        <w:t>（含采集协议与标注一致性检验）；</w:t>
      </w:r>
    </w:p>
    <w:p>
      <w:pPr>
        <w:pStyle w:val="ListBullet"/>
        <w:ind w:firstLine="0"/>
      </w:pPr>
      <w:r>
        <w:rPr>
          <w:rFonts w:ascii="Times New Roman" w:hAnsi="Times New Roman" w:eastAsia="宋体"/>
          <w:b/>
          <w:sz w:val="24"/>
        </w:rPr>
        <w:t>完整基线与消融</w:t>
      </w:r>
      <w:r>
        <w:rPr>
          <w:rFonts w:ascii="Times New Roman" w:hAnsi="Times New Roman" w:eastAsia="宋体"/>
          <w:sz w:val="24"/>
        </w:rPr>
        <w:t>（精度、定位、效率、成本）；</w:t>
      </w:r>
    </w:p>
    <w:p>
      <w:pPr>
        <w:pStyle w:val="ListBullet"/>
        <w:ind w:firstLine="0"/>
      </w:pPr>
      <w:r>
        <w:rPr>
          <w:rFonts w:ascii="Times New Roman" w:hAnsi="Times New Roman" w:eastAsia="宋体"/>
          <w:b/>
          <w:sz w:val="24"/>
        </w:rPr>
        <w:t>田间或接近田间的验证</w:t>
      </w:r>
      <w:r>
        <w:rPr>
          <w:rFonts w:ascii="Times New Roman" w:hAnsi="Times New Roman" w:eastAsia="宋体"/>
          <w:sz w:val="24"/>
        </w:rPr>
        <w:t>（跨地块、跨日期泛化）；</w:t>
      </w:r>
    </w:p>
    <w:p>
      <w:pPr>
        <w:pStyle w:val="ListBullet"/>
        <w:ind w:firstLine="0"/>
      </w:pPr>
      <w:r>
        <w:rPr>
          <w:rFonts w:ascii="Times New Roman" w:hAnsi="Times New Roman" w:eastAsia="宋体"/>
          <w:b/>
          <w:sz w:val="24"/>
        </w:rPr>
        <w:t>清晰贡献</w:t>
      </w:r>
      <w:r>
        <w:rPr>
          <w:rFonts w:ascii="Times New Roman" w:hAnsi="Times New Roman" w:eastAsia="宋体"/>
          <w:sz w:val="24"/>
        </w:rPr>
        <w:t>（不是简单拼接模型，而是可验证的难例预算与融合规则）；</w:t>
      </w:r>
    </w:p>
    <w:p>
      <w:pPr>
        <w:pStyle w:val="ListBullet"/>
        <w:ind w:firstLine="0"/>
      </w:pPr>
      <w:r>
        <w:rPr>
          <w:rFonts w:ascii="Times New Roman" w:hAnsi="Times New Roman" w:eastAsia="宋体"/>
          <w:b/>
          <w:sz w:val="24"/>
        </w:rPr>
        <w:t>开源或可复现细节</w:t>
      </w:r>
      <w:r>
        <w:rPr>
          <w:rFonts w:ascii="Times New Roman" w:hAnsi="Times New Roman" w:eastAsia="宋体"/>
          <w:sz w:val="24"/>
        </w:rPr>
        <w:t>（超参、种子、硬件、数据示例）。</w:t>
      </w:r>
    </w:p>
    <w:p>
      <w:pPr>
        <w:spacing w:line="360" w:lineRule="auto"/>
        <w:ind w:firstLine="420"/>
      </w:pPr>
      <w:r>
        <w:rPr>
          <w:rFonts w:ascii="Times New Roman" w:hAnsi="Times New Roman" w:eastAsia="宋体"/>
          <w:sz w:val="24"/>
        </w:rPr>
        <w:t>当前工程已具备方法骨架与可运行闭环，具备写成方法论文的基础；缺口主要在数据与系统实验，而非再堆叠更多模型名称。</w:t>
      </w:r>
    </w:p>
    <w:p>
      <w:pPr>
        <w:pStyle w:val="Heading3"/>
        <w:spacing w:before="240" w:after="120"/>
        <w:ind w:firstLine="0"/>
      </w:pPr>
      <w:r>
        <w:rPr>
          <w:rFonts w:ascii="Times New Roman" w:hAnsi="Times New Roman" w:eastAsia="黑体"/>
          <w:b/>
          <w:sz w:val="24"/>
        </w:rPr>
        <w:t>5.7 方法创新点的审稿表述建议</w:t>
      </w:r>
    </w:p>
    <w:p>
      <w:pPr>
        <w:spacing w:line="360" w:lineRule="auto"/>
        <w:ind w:firstLine="420"/>
      </w:pPr>
      <w:r>
        <w:rPr>
          <w:rFonts w:ascii="Times New Roman" w:hAnsi="Times New Roman" w:eastAsia="宋体"/>
          <w:sz w:val="24"/>
        </w:rPr>
        <w:t>向应用类期刊投稿时，创新不宜表述为“首次把三个热门模型放在一起”，而应强调可验证机制：</w:t>
      </w:r>
    </w:p>
    <w:p>
      <w:pPr>
        <w:pStyle w:val="ListBullet"/>
        <w:ind w:firstLine="0"/>
      </w:pPr>
      <w:r>
        <w:rPr>
          <w:rFonts w:ascii="Times New Roman" w:hAnsi="Times New Roman" w:eastAsia="宋体"/>
          <w:b/>
          <w:sz w:val="24"/>
        </w:rPr>
        <w:t>机制创新</w:t>
      </w:r>
      <w:r>
        <w:rPr>
          <w:rFonts w:ascii="Times New Roman" w:hAnsi="Times New Roman" w:eastAsia="宋体"/>
          <w:sz w:val="24"/>
        </w:rPr>
        <w:t>：提出面向田间检测置信特征的难例评分与触发规则，将基础分割模型的调用从“全量”降为“预算内”；</w:t>
      </w:r>
    </w:p>
    <w:p>
      <w:pPr>
        <w:pStyle w:val="ListBullet"/>
        <w:ind w:firstLine="0"/>
      </w:pPr>
      <w:r>
        <w:rPr>
          <w:rFonts w:ascii="Times New Roman" w:hAnsi="Times New Roman" w:eastAsia="宋体"/>
          <w:b/>
          <w:sz w:val="24"/>
        </w:rPr>
        <w:t>评价创新</w:t>
      </w:r>
      <w:r>
        <w:rPr>
          <w:rFonts w:ascii="Times New Roman" w:hAnsi="Times New Roman" w:eastAsia="宋体"/>
          <w:sz w:val="24"/>
        </w:rPr>
        <w:t>：明确三级产物的评价边界——检测 mAP、精炼子集 IoU、质检一致率——避免指标混用；</w:t>
      </w:r>
    </w:p>
    <w:p>
      <w:pPr>
        <w:pStyle w:val="ListBullet"/>
        <w:ind w:firstLine="0"/>
      </w:pPr>
      <w:r>
        <w:rPr>
          <w:rFonts w:ascii="Times New Roman" w:hAnsi="Times New Roman" w:eastAsia="宋体"/>
          <w:b/>
          <w:sz w:val="24"/>
        </w:rPr>
        <w:t>系统创新</w:t>
      </w:r>
      <w:r>
        <w:rPr>
          <w:rFonts w:ascii="Times New Roman" w:hAnsi="Times New Roman" w:eastAsia="宋体"/>
          <w:sz w:val="24"/>
        </w:rPr>
        <w:t>：给出标签回灌与中文质检报告接口，打通“模型—标注—农艺复核”闭环。</w:t>
      </w:r>
    </w:p>
    <w:p>
      <w:pPr>
        <w:spacing w:line="360" w:lineRule="auto"/>
        <w:ind w:firstLine="420"/>
      </w:pPr>
      <w:r>
        <w:rPr>
          <w:rFonts w:ascii="Times New Roman" w:hAnsi="Times New Roman" w:eastAsia="宋体"/>
          <w:sz w:val="24"/>
        </w:rPr>
        <w:t>这样的表述更符合二区期刊对“problem–method–evidence”完整性的要求，也降低被审稿人批评为“工程拼盘”的风险。</w:t>
      </w:r>
    </w:p>
    <w:p>
      <w:pPr>
        <w:pStyle w:val="Heading3"/>
        <w:spacing w:before="240" w:after="120"/>
        <w:ind w:firstLine="0"/>
      </w:pPr>
      <w:r>
        <w:rPr>
          <w:rFonts w:ascii="Times New Roman" w:hAnsi="Times New Roman" w:eastAsia="黑体"/>
          <w:b/>
          <w:sz w:val="24"/>
        </w:rPr>
        <w:t>5.8 局限性</w:t>
      </w:r>
    </w:p>
    <w:p>
      <w:pPr>
        <w:spacing w:line="360" w:lineRule="auto"/>
        <w:ind w:firstLine="420"/>
      </w:pPr>
      <w:r>
        <w:rPr>
          <w:rFonts w:ascii="Times New Roman" w:hAnsi="Times New Roman" w:eastAsia="宋体"/>
          <w:sz w:val="24"/>
        </w:rPr>
        <w:t>本文方法仍存在若干局限。第一，难例分数依赖置信度校准质量；若模型严重过自信，不确定区间可能失效，需要温度缩放或可靠性图辅助。第二，SAM 对提示框质量敏感，当 YOLO 框严重偏移或多目标挤在同一框内时，掩膜可能粘连，外接框未必优于原框，故融合阶段必须保留失败回退。第三，三类标签体系相对粗粒度，实际田间杂草物种远多于此，开集与长尾物种识别尚未解决。第四，LLM 报告的专业性受提示词与领域知识限制，不能替代持证农艺师的处方签字。第五，当前原型数据规模不足以支撑强泛化结论，任何性能数字都必须等待完整实验。</w:t>
      </w:r>
    </w:p>
    <w:p>
      <w:pPr>
        <w:pStyle w:val="Heading3"/>
        <w:spacing w:before="240" w:after="120"/>
        <w:ind w:firstLine="0"/>
      </w:pPr>
      <w:r>
        <w:rPr>
          <w:rFonts w:ascii="Times New Roman" w:hAnsi="Times New Roman" w:eastAsia="黑体"/>
          <w:b/>
          <w:sz w:val="24"/>
        </w:rPr>
        <w:t>5.9 应用场景与推广条件</w:t>
      </w:r>
    </w:p>
    <w:p>
      <w:pPr>
        <w:spacing w:line="360" w:lineRule="auto"/>
        <w:ind w:firstLine="420"/>
      </w:pPr>
      <w:r>
        <w:rPr>
          <w:rFonts w:ascii="Times New Roman" w:hAnsi="Times New Roman" w:eastAsia="宋体"/>
          <w:sz w:val="24"/>
        </w:rPr>
        <w:t>本框架优先适用于以下场景：玉米（或形态相近的旱作）苗期巡田、科研样地高通量表型、植保服务组织的作业前复核。推广到水稻、小麦等作物时，需重建类别体系与拍摄几何（俯视高度、行距、叶龄）。对算力受限的边缘设备，可仅部署 YOLO，将难例图像上传至机巢或云端执行 SAM/LLM；对无外网环境，可用本地小参数语言模型生成简化质检清单。成功落地的关键不在模型更大，而在数据采集规范、类别定义稳定、以及农艺人员愿意使用报告去分配复核工时。</w:t>
      </w:r>
    </w:p>
    <w:p>
      <w:pPr>
        <w:pStyle w:val="Heading2"/>
        <w:spacing w:before="240" w:after="120"/>
        <w:ind w:firstLine="0"/>
      </w:pPr>
      <w:r>
        <w:rPr>
          <w:rFonts w:ascii="Times New Roman" w:hAnsi="Times New Roman" w:eastAsia="黑体"/>
          <w:b/>
          <w:sz w:val="28"/>
        </w:rPr>
        <w:t>6 结论与展望</w:t>
      </w:r>
    </w:p>
    <w:p>
      <w:pPr>
        <w:spacing w:line="360" w:lineRule="auto"/>
        <w:ind w:firstLine="420"/>
      </w:pPr>
      <w:r>
        <w:rPr>
          <w:rFonts w:ascii="Times New Roman" w:hAnsi="Times New Roman" w:eastAsia="宋体"/>
          <w:sz w:val="24"/>
        </w:rPr>
        <w:t>本文面向玉米苗期精准管理需求，提出难例驱动的 YOLO–SAM–LLM 协同检测与质检闭环方法。YOLO 承担实时检测与指标验收；SAM 在不确定与拥挤预算内精炼几何定位并回写标签；LLM 基于结构化摘要生成质检意见与中文农事报告且不改写检测结果。该职责解耦框架在保持评价口径清晰的同时，为算力分配与人机协同复核提供了可落地路径。</w:t>
      </w:r>
    </w:p>
    <w:p>
      <w:pPr>
        <w:spacing w:line="360" w:lineRule="auto"/>
        <w:ind w:firstLine="420"/>
      </w:pPr>
      <w:r>
        <w:rPr>
          <w:rFonts w:ascii="Times New Roman" w:hAnsi="Times New Roman" w:eastAsia="宋体"/>
          <w:sz w:val="24"/>
        </w:rPr>
        <w:t>从计算机科学角度看，本文贡献在于把基础视觉模型与大语言模型嵌入经典检测流水线时，给出了可审计的接口契约与预算分配算法；从农业工程角度看，贡献在于把检测系统的输出从“框和分数”延伸到“可复核的风险清单与中文报告”，更贴近植保作业组织方式。两者结合，形成面向精准农业的感知–质检闭环模板。</w:t>
      </w:r>
    </w:p>
    <w:p>
      <w:pPr>
        <w:spacing w:line="360" w:lineRule="auto"/>
        <w:ind w:firstLine="420"/>
      </w:pPr>
      <w:r>
        <w:rPr>
          <w:rFonts w:ascii="Times New Roman" w:hAnsi="Times New Roman" w:eastAsia="宋体"/>
          <w:sz w:val="24"/>
        </w:rPr>
        <w:t>未来工作包括：（1）在大规模真实田间数据上完成完整实验与跨域测试；（2）引入更精细的主动学习策略与伪标签自训练（需严格过滤）；（3）探索轻量化 SAM/移动端检测以支持机载实时；（4）将质检报告对接处方图与变量喷雾执行链路，形成感知–决策–作业闭环；（5）扩展至多作物与多杂草体系，并研究开集杂草识别；（6）开展人因实验，量化 LLM 报告对农艺师复核效率与决策质量的影响。</w:t>
      </w:r>
    </w:p>
    <w:p>
      <w:pPr>
        <w:spacing w:line="360" w:lineRule="auto"/>
        <w:ind w:firstLine="420"/>
      </w:pPr>
      <w:r>
        <w:rPr>
          <w:rFonts w:ascii="Times New Roman" w:hAnsi="Times New Roman" w:eastAsia="宋体"/>
          <w:sz w:val="24"/>
        </w:rPr>
        <w:t>总之，田间智能检测的下一步未必是无限制地扩大模型规模，而是在明确责任边界的前提下，让昂贵模型只出现在真正需要的地方，并让人能够理解、质疑与纠正模型。本文提出的难例驱动 YOLO–SAM–LLM 闭环，正是朝这一目标的一次系统化尝试。</w:t>
      </w:r>
    </w:p>
    <w:p>
      <w:pPr>
        <w:pStyle w:val="Heading2"/>
        <w:spacing w:before="240" w:after="120"/>
        <w:ind w:firstLine="0"/>
      </w:pPr>
      <w:r>
        <w:rPr>
          <w:rFonts w:ascii="Times New Roman" w:hAnsi="Times New Roman" w:eastAsia="黑体"/>
          <w:b/>
          <w:sz w:val="28"/>
        </w:rPr>
        <w:t>7 软件实现与可复现实验组织</w:t>
      </w:r>
    </w:p>
    <w:p>
      <w:pPr>
        <w:spacing w:line="360" w:lineRule="auto"/>
        <w:ind w:firstLine="420"/>
      </w:pPr>
      <w:r>
        <w:rPr>
          <w:rFonts w:ascii="Times New Roman" w:hAnsi="Times New Roman" w:eastAsia="宋体"/>
          <w:sz w:val="24"/>
        </w:rPr>
        <w:t>为便于同行复现，本文将软件实现组织为四层：</w:t>
      </w:r>
      <w:r>
        <w:rPr>
          <w:rFonts w:ascii="Consolas" w:hAnsi="Consolas" w:eastAsia="宋体"/>
          <w:sz w:val="24"/>
        </w:rPr>
        <w:t>detect</w:t>
      </w:r>
      <w:r>
        <w:rPr>
          <w:rFonts w:ascii="Times New Roman" w:hAnsi="Times New Roman" w:eastAsia="宋体"/>
          <w:sz w:val="24"/>
        </w:rPr>
        <w:t>（YOLO 训练与推理）、</w:t>
      </w:r>
      <w:r>
        <w:rPr>
          <w:rFonts w:ascii="Consolas" w:hAnsi="Consolas" w:eastAsia="宋体"/>
          <w:sz w:val="24"/>
        </w:rPr>
        <w:t>assist</w:t>
      </w:r>
      <w:r>
        <w:rPr>
          <w:rFonts w:ascii="Times New Roman" w:hAnsi="Times New Roman" w:eastAsia="宋体"/>
          <w:sz w:val="24"/>
        </w:rPr>
        <w:t>（难例、SAM、LLM）、</w:t>
      </w:r>
      <w:r>
        <w:rPr>
          <w:rFonts w:ascii="Consolas" w:hAnsi="Consolas" w:eastAsia="宋体"/>
          <w:sz w:val="24"/>
        </w:rPr>
        <w:t>pipeline</w:t>
      </w:r>
      <w:r>
        <w:rPr>
          <w:rFonts w:ascii="Times New Roman" w:hAnsi="Times New Roman" w:eastAsia="宋体"/>
          <w:sz w:val="24"/>
        </w:rPr>
        <w:t>（闭环编排）、</w:t>
      </w:r>
      <w:r>
        <w:rPr>
          <w:rFonts w:ascii="Consolas" w:hAnsi="Consolas" w:eastAsia="宋体"/>
          <w:sz w:val="24"/>
        </w:rPr>
        <w:t>utils</w:t>
      </w:r>
      <w:r>
        <w:rPr>
          <w:rFonts w:ascii="Times New Roman" w:hAnsi="Times New Roman" w:eastAsia="宋体"/>
          <w:sz w:val="24"/>
        </w:rPr>
        <w:t xml:space="preserve">（配置与 I/O）。用户可通过统一命令行完成：样本准备、仅检测、训练、以及完整 </w:t>
      </w:r>
      <w:r>
        <w:rPr>
          <w:rFonts w:ascii="Consolas" w:hAnsi="Consolas" w:eastAsia="宋体"/>
          <w:sz w:val="24"/>
        </w:rPr>
        <w:t>run</w:t>
      </w:r>
      <w:r>
        <w:rPr>
          <w:rFonts w:ascii="Times New Roman" w:hAnsi="Times New Roman" w:eastAsia="宋体"/>
          <w:sz w:val="24"/>
        </w:rPr>
        <w:t xml:space="preserve"> 闭环。复现实验时建议固定随机种子、记录 Ultralytics 与 PyTorch 版本，并保存 </w:t>
      </w:r>
      <w:r>
        <w:rPr>
          <w:rFonts w:ascii="Consolas" w:hAnsi="Consolas" w:eastAsia="宋体"/>
          <w:sz w:val="24"/>
        </w:rPr>
        <w:t>args.yaml</w:t>
      </w:r>
      <w:r>
        <w:rPr>
          <w:rFonts w:ascii="Times New Roman" w:hAnsi="Times New Roman" w:eastAsia="宋体"/>
          <w:sz w:val="24"/>
        </w:rPr>
        <w:t xml:space="preserve"> 与 </w:t>
      </w:r>
      <w:r>
        <w:rPr>
          <w:rFonts w:ascii="Consolas" w:hAnsi="Consolas" w:eastAsia="宋体"/>
          <w:sz w:val="24"/>
        </w:rPr>
        <w:t>results.csv</w:t>
      </w:r>
      <w:r>
        <w:rPr>
          <w:rFonts w:ascii="Times New Roman" w:hAnsi="Times New Roman" w:eastAsia="宋体"/>
          <w:sz w:val="24"/>
        </w:rPr>
        <w:t>。对 LLM 部分，应在论文中声明模型名称、接口基址、温度与提示词版本号；若期刊要求，可将提示词全文放入补充材料。涉及云端 API 的实验需说明网络环境与失败重试策略，避免把偶发网络错误解释为方法差异。</w:t>
      </w:r>
    </w:p>
    <w:p>
      <w:pPr>
        <w:spacing w:line="360" w:lineRule="auto"/>
        <w:ind w:firstLine="420"/>
      </w:pPr>
      <w:r>
        <w:rPr>
          <w:rFonts w:ascii="Times New Roman" w:hAnsi="Times New Roman" w:eastAsia="宋体"/>
          <w:sz w:val="24"/>
        </w:rPr>
        <w:t>在组织对比实验时，推荐采用“同一测试集、同一硬件、同一 YOLO 权重”控制变量：先冻结检测器，只改变是否调用 SAM 与调用策略，以分离定位模块贡献；再在固定视觉结果上评估不同 LLM 或提示词对质检指标的影响。这样可以防止把检测器升级带来的增益误记到 SAM 或 LLM 头上。对于消融 A4（阈值敏感性），应以精炼率 \(\rho\) 为横轴、以难例子集 IoU 或人工复核工作量为纵轴绘制曲线，直观展示预算–收益权衡，这往往比单点最优超参更有说服力。</w:t>
      </w:r>
    </w:p>
    <w:p>
      <w:pPr>
        <w:spacing w:line="360" w:lineRule="auto"/>
        <w:ind w:firstLine="420"/>
      </w:pPr>
      <w:r>
        <w:rPr>
          <w:rFonts w:ascii="Times New Roman" w:hAnsi="Times New Roman" w:eastAsia="宋体"/>
          <w:sz w:val="24"/>
        </w:rPr>
        <w:t>若条件允许，公开一个去标识的迷你子集（例如 100 张图与标签）以及完整配置，将显著提高稿件可信度。即使完整田数据因产权不能开源，也应在文中提供获取途径或统计描述（各类别实例数、图像分辨率分布、地块数）。对中文初稿转化为英文投稿时，还需统一术语：maize seedling、broadleaf weed、grass weed、hard example mining、box-prompt refinement、quality inspection report 等，并避免把“闭环”简单译成缺乏技术含义的空泛词，而应译为 closed-loop detection–refinement–inspection pipeline。</w:t>
      </w:r>
    </w:p>
    <w:p>
      <w:pPr>
        <w:pStyle w:val="Heading2"/>
        <w:spacing w:before="240" w:after="120"/>
        <w:ind w:firstLine="0"/>
      </w:pPr>
      <w:r>
        <w:rPr>
          <w:rFonts w:ascii="Times New Roman" w:hAnsi="Times New Roman" w:eastAsia="黑体"/>
          <w:b/>
          <w:sz w:val="28"/>
        </w:rPr>
        <w:t>参考文献（节选，正式投稿需按期刊格式补全）</w:t>
      </w:r>
    </w:p>
    <w:p>
      <w:pPr>
        <w:spacing w:line="360" w:lineRule="auto"/>
        <w:ind w:firstLine="420"/>
      </w:pPr>
      <w:r>
        <w:rPr>
          <w:rFonts w:ascii="Times New Roman" w:hAnsi="Times New Roman" w:eastAsia="宋体"/>
          <w:sz w:val="24"/>
        </w:rPr>
        <w:t>[1] Redmon J, et al. You Only Look Once: Unified, Real-Time Object Detection. CVPR, 2016.</w:t>
      </w:r>
    </w:p>
    <w:p>
      <w:pPr>
        <w:spacing w:line="360" w:lineRule="auto"/>
        <w:ind w:firstLine="420"/>
      </w:pPr>
      <w:r>
        <w:rPr>
          <w:rFonts w:ascii="Times New Roman" w:hAnsi="Times New Roman" w:eastAsia="宋体"/>
          <w:sz w:val="24"/>
        </w:rPr>
        <w:t>[2] Jocher G, et al. Ultralytics YOLO. https://github.com/ultralytics/ultralytics</w:t>
      </w:r>
    </w:p>
    <w:p>
      <w:pPr>
        <w:spacing w:line="360" w:lineRule="auto"/>
        <w:ind w:firstLine="420"/>
      </w:pPr>
      <w:r>
        <w:rPr>
          <w:rFonts w:ascii="Times New Roman" w:hAnsi="Times New Roman" w:eastAsia="宋体"/>
          <w:sz w:val="24"/>
        </w:rPr>
        <w:t>[3] Kirillov A, et al. Segment Anything. ICCV, 2023.</w:t>
      </w:r>
    </w:p>
    <w:p>
      <w:pPr>
        <w:spacing w:line="360" w:lineRule="auto"/>
        <w:ind w:firstLine="420"/>
      </w:pPr>
      <w:r>
        <w:rPr>
          <w:rFonts w:ascii="Times New Roman" w:hAnsi="Times New Roman" w:eastAsia="宋体"/>
          <w:sz w:val="24"/>
        </w:rPr>
        <w:t>[4] Wang A, et al. YOLOv10 / YOLO11 related technical reports. 2024–2025.</w:t>
      </w:r>
    </w:p>
    <w:p>
      <w:pPr>
        <w:spacing w:line="360" w:lineRule="auto"/>
        <w:ind w:firstLine="420"/>
      </w:pPr>
      <w:r>
        <w:rPr>
          <w:rFonts w:ascii="Times New Roman" w:hAnsi="Times New Roman" w:eastAsia="宋体"/>
          <w:sz w:val="24"/>
        </w:rPr>
        <w:t>[5] Olsen A, et al. DeepWeeds: A multiclass weed species image dataset. Scientific Reports, 2019.</w:t>
      </w:r>
    </w:p>
    <w:p>
      <w:pPr>
        <w:spacing w:line="360" w:lineRule="auto"/>
        <w:ind w:firstLine="420"/>
      </w:pPr>
      <w:r>
        <w:rPr>
          <w:rFonts w:ascii="Times New Roman" w:hAnsi="Times New Roman" w:eastAsia="宋体"/>
          <w:sz w:val="24"/>
        </w:rPr>
        <w:t>[6] Hasan A S M M, et al. A survey of deep learning techniques for weed detection. Computers and Electronics in Agriculture.</w:t>
      </w:r>
    </w:p>
    <w:p>
      <w:pPr>
        <w:spacing w:line="360" w:lineRule="auto"/>
        <w:ind w:firstLine="420"/>
      </w:pPr>
      <w:r>
        <w:rPr>
          <w:rFonts w:ascii="Times New Roman" w:hAnsi="Times New Roman" w:eastAsia="宋体"/>
          <w:sz w:val="24"/>
        </w:rPr>
        <w:t>[7] Su D, et al. Data augmentation and deep learning for plant and weed recognition. related CEA papers.</w:t>
      </w:r>
    </w:p>
    <w:p>
      <w:pPr>
        <w:spacing w:line="360" w:lineRule="auto"/>
        <w:ind w:firstLine="420"/>
      </w:pPr>
      <w:r>
        <w:rPr>
          <w:rFonts w:ascii="Times New Roman" w:hAnsi="Times New Roman" w:eastAsia="宋体"/>
          <w:sz w:val="24"/>
        </w:rPr>
        <w:t>[8] OpenAI / DeepSeek. Large language model API documentation.</w:t>
      </w:r>
    </w:p>
    <w:p>
      <w:pPr>
        <w:spacing w:line="360" w:lineRule="auto"/>
        <w:ind w:firstLine="420"/>
      </w:pPr>
      <w:r>
        <w:rPr>
          <w:rFonts w:ascii="Times New Roman" w:hAnsi="Times New Roman" w:eastAsia="宋体"/>
          <w:sz w:val="24"/>
        </w:rPr>
        <w:t>[9] Settles B. Active Learning Literature Survey. University of Wisconsin–Madison, 2009.</w:t>
      </w:r>
    </w:p>
    <w:p>
      <w:pPr>
        <w:spacing w:line="360" w:lineRule="auto"/>
        <w:ind w:firstLine="420"/>
      </w:pPr>
      <w:r>
        <w:rPr>
          <w:rFonts w:ascii="Times New Roman" w:hAnsi="Times New Roman" w:eastAsia="宋体"/>
          <w:sz w:val="24"/>
        </w:rPr>
        <w:t>[10] Kamilaris A, Prenafeta-Boldú F X. Deep learning in agriculture: A survey. Computers and Electronics in Agriculture, 2018.</w:t>
      </w:r>
    </w:p>
    <w:p>
      <w:pPr>
        <w:spacing w:line="360" w:lineRule="auto"/>
        <w:ind w:firstLine="420"/>
      </w:pPr>
      <w:r>
        <w:rPr>
          <w:rFonts w:ascii="Times New Roman" w:hAnsi="Times New Roman" w:eastAsia="宋体"/>
          <w:sz w:val="24"/>
        </w:rPr>
        <w:t>[11] 相关中文文献：田间杂草识别、玉米苗期表型检测、精准变量喷雾感知等（投稿时按知网/期刊最新成果补充）。</w:t>
      </w:r>
    </w:p>
    <w:p>
      <w:pPr>
        <w:pStyle w:val="Heading2"/>
        <w:spacing w:before="240" w:after="120"/>
        <w:ind w:firstLine="0"/>
      </w:pPr>
      <w:r>
        <w:rPr>
          <w:rFonts w:ascii="Times New Roman" w:hAnsi="Times New Roman" w:eastAsia="黑体"/>
          <w:b/>
          <w:sz w:val="28"/>
        </w:rPr>
        <w:t>附录 A 工程模块与论文章节映射</w:t>
      </w:r>
    </w:p>
    <w:tbl>
      <w:tblPr>
        <w:tblStyle w:val="TableGrid"/>
        <w:tblW w:type="auto" w:w="0"/>
        <w:tblLook w:firstColumn="1" w:firstRow="1" w:lastColumn="0" w:lastRow="0" w:noHBand="0" w:noVBand="1" w:val="04A0"/>
      </w:tblPr>
      <w:tblGrid>
        <w:gridCol w:w="4536"/>
        <w:gridCol w:w="4536"/>
      </w:tblGrid>
      <w:tr>
        <w:tc>
          <w:tcPr>
            <w:tcW w:type="dxa" w:w="4536"/>
          </w:tcPr>
          <w:p>
            <w:pPr>
              <w:ind w:firstLine="0"/>
            </w:pPr>
            <w:r/>
            <w:r>
              <w:rPr>
                <w:rFonts w:ascii="Times New Roman" w:hAnsi="Times New Roman" w:eastAsia="宋体"/>
                <w:b/>
                <w:sz w:val="20"/>
              </w:rPr>
              <w:t>论文模块</w:t>
            </w:r>
          </w:p>
        </w:tc>
        <w:tc>
          <w:tcPr>
            <w:tcW w:type="dxa" w:w="4536"/>
          </w:tcPr>
          <w:p>
            <w:pPr>
              <w:ind w:firstLine="0"/>
            </w:pPr>
            <w:r/>
            <w:r>
              <w:rPr>
                <w:rFonts w:ascii="Times New Roman" w:hAnsi="Times New Roman" w:eastAsia="宋体"/>
                <w:b/>
                <w:sz w:val="20"/>
              </w:rPr>
              <w:t>工程路径</w:t>
            </w:r>
          </w:p>
        </w:tc>
      </w:tr>
      <w:tr>
        <w:tc>
          <w:tcPr>
            <w:tcW w:type="dxa" w:w="4536"/>
          </w:tcPr>
          <w:p>
            <w:pPr>
              <w:ind w:firstLine="0"/>
            </w:pPr>
            <w:r/>
            <w:r>
              <w:rPr>
                <w:rFonts w:ascii="Times New Roman" w:hAnsi="Times New Roman" w:eastAsia="宋体"/>
                <w:b w:val="0"/>
                <w:sz w:val="20"/>
              </w:rPr>
              <w:t>闭环编排</w:t>
            </w:r>
          </w:p>
        </w:tc>
        <w:tc>
          <w:tcPr>
            <w:tcW w:type="dxa" w:w="4536"/>
          </w:tcPr>
          <w:p>
            <w:pPr>
              <w:ind w:firstLine="0"/>
            </w:pPr>
            <w:r/>
            <w:r>
              <w:rPr>
                <w:rFonts w:ascii="Times New Roman" w:hAnsi="Times New Roman" w:eastAsia="宋体"/>
                <w:b w:val="0"/>
                <w:sz w:val="20"/>
              </w:rPr>
              <w:t>`src/pipeline/run.py`</w:t>
            </w:r>
          </w:p>
        </w:tc>
      </w:tr>
      <w:tr>
        <w:tc>
          <w:tcPr>
            <w:tcW w:type="dxa" w:w="4536"/>
          </w:tcPr>
          <w:p>
            <w:pPr>
              <w:ind w:firstLine="0"/>
            </w:pPr>
            <w:r/>
            <w:r>
              <w:rPr>
                <w:rFonts w:ascii="Times New Roman" w:hAnsi="Times New Roman" w:eastAsia="宋体"/>
                <w:b w:val="0"/>
                <w:sz w:val="20"/>
              </w:rPr>
              <w:t>YOLO 推理/训练</w:t>
            </w:r>
          </w:p>
        </w:tc>
        <w:tc>
          <w:tcPr>
            <w:tcW w:type="dxa" w:w="4536"/>
          </w:tcPr>
          <w:p>
            <w:pPr>
              <w:ind w:firstLine="0"/>
            </w:pPr>
            <w:r/>
            <w:r>
              <w:rPr>
                <w:rFonts w:ascii="Times New Roman" w:hAnsi="Times New Roman" w:eastAsia="宋体"/>
                <w:b w:val="0"/>
                <w:sz w:val="20"/>
              </w:rPr>
              <w:t>`src/detect/infer.py`, `src/train/train_yolo.py`</w:t>
            </w:r>
          </w:p>
        </w:tc>
      </w:tr>
      <w:tr>
        <w:tc>
          <w:tcPr>
            <w:tcW w:type="dxa" w:w="4536"/>
          </w:tcPr>
          <w:p>
            <w:pPr>
              <w:ind w:firstLine="0"/>
            </w:pPr>
            <w:r/>
            <w:r>
              <w:rPr>
                <w:rFonts w:ascii="Times New Roman" w:hAnsi="Times New Roman" w:eastAsia="宋体"/>
                <w:b w:val="0"/>
                <w:sz w:val="20"/>
              </w:rPr>
              <w:t>难例挖掘</w:t>
            </w:r>
          </w:p>
        </w:tc>
        <w:tc>
          <w:tcPr>
            <w:tcW w:type="dxa" w:w="4536"/>
          </w:tcPr>
          <w:p>
            <w:pPr>
              <w:ind w:firstLine="0"/>
            </w:pPr>
            <w:r/>
            <w:r>
              <w:rPr>
                <w:rFonts w:ascii="Times New Roman" w:hAnsi="Times New Roman" w:eastAsia="宋体"/>
                <w:b w:val="0"/>
                <w:sz w:val="20"/>
              </w:rPr>
              <w:t>`src/assist/hard_mining.py`</w:t>
            </w:r>
          </w:p>
        </w:tc>
      </w:tr>
      <w:tr>
        <w:tc>
          <w:tcPr>
            <w:tcW w:type="dxa" w:w="4536"/>
          </w:tcPr>
          <w:p>
            <w:pPr>
              <w:ind w:firstLine="0"/>
            </w:pPr>
            <w:r/>
            <w:r>
              <w:rPr>
                <w:rFonts w:ascii="Times New Roman" w:hAnsi="Times New Roman" w:eastAsia="宋体"/>
                <w:b w:val="0"/>
                <w:sz w:val="20"/>
              </w:rPr>
              <w:t>SAM 精炼</w:t>
            </w:r>
          </w:p>
        </w:tc>
        <w:tc>
          <w:tcPr>
            <w:tcW w:type="dxa" w:w="4536"/>
          </w:tcPr>
          <w:p>
            <w:pPr>
              <w:ind w:firstLine="0"/>
            </w:pPr>
            <w:r/>
            <w:r>
              <w:rPr>
                <w:rFonts w:ascii="Times New Roman" w:hAnsi="Times New Roman" w:eastAsia="宋体"/>
                <w:b w:val="0"/>
                <w:sz w:val="20"/>
              </w:rPr>
              <w:t>`src/assist/sam_annotate.py`</w:t>
            </w:r>
          </w:p>
        </w:tc>
      </w:tr>
      <w:tr>
        <w:tc>
          <w:tcPr>
            <w:tcW w:type="dxa" w:w="4536"/>
          </w:tcPr>
          <w:p>
            <w:pPr>
              <w:ind w:firstLine="0"/>
            </w:pPr>
            <w:r/>
            <w:r>
              <w:rPr>
                <w:rFonts w:ascii="Times New Roman" w:hAnsi="Times New Roman" w:eastAsia="宋体"/>
                <w:b w:val="0"/>
                <w:sz w:val="20"/>
              </w:rPr>
              <w:t>LLM 质检</w:t>
            </w:r>
          </w:p>
        </w:tc>
        <w:tc>
          <w:tcPr>
            <w:tcW w:type="dxa" w:w="4536"/>
          </w:tcPr>
          <w:p>
            <w:pPr>
              <w:ind w:firstLine="0"/>
            </w:pPr>
            <w:r/>
            <w:r>
              <w:rPr>
                <w:rFonts w:ascii="Times New Roman" w:hAnsi="Times New Roman" w:eastAsia="宋体"/>
                <w:b w:val="0"/>
                <w:sz w:val="20"/>
              </w:rPr>
              <w:t>`src/assist/llm_review.py`</w:t>
            </w:r>
          </w:p>
        </w:tc>
      </w:tr>
      <w:tr>
        <w:tc>
          <w:tcPr>
            <w:tcW w:type="dxa" w:w="4536"/>
          </w:tcPr>
          <w:p>
            <w:pPr>
              <w:ind w:firstLine="0"/>
            </w:pPr>
            <w:r/>
            <w:r>
              <w:rPr>
                <w:rFonts w:ascii="Times New Roman" w:hAnsi="Times New Roman" w:eastAsia="宋体"/>
                <w:b w:val="0"/>
                <w:sz w:val="20"/>
              </w:rPr>
              <w:t>数据配置</w:t>
            </w:r>
          </w:p>
        </w:tc>
        <w:tc>
          <w:tcPr>
            <w:tcW w:type="dxa" w:w="4536"/>
          </w:tcPr>
          <w:p>
            <w:pPr>
              <w:ind w:firstLine="0"/>
            </w:pPr>
            <w:r/>
            <w:r>
              <w:rPr>
                <w:rFonts w:ascii="Times New Roman" w:hAnsi="Times New Roman" w:eastAsia="宋体"/>
                <w:b w:val="0"/>
                <w:sz w:val="20"/>
              </w:rPr>
              <w:t>`configs/field.yaml`</w:t>
            </w:r>
          </w:p>
        </w:tc>
      </w:tr>
      <w:tr>
        <w:tc>
          <w:tcPr>
            <w:tcW w:type="dxa" w:w="4536"/>
          </w:tcPr>
          <w:p>
            <w:pPr>
              <w:ind w:firstLine="0"/>
            </w:pPr>
            <w:r/>
            <w:r>
              <w:rPr>
                <w:rFonts w:ascii="Times New Roman" w:hAnsi="Times New Roman" w:eastAsia="宋体"/>
                <w:b w:val="0"/>
                <w:sz w:val="20"/>
              </w:rPr>
              <w:t>CLI</w:t>
            </w:r>
          </w:p>
        </w:tc>
        <w:tc>
          <w:tcPr>
            <w:tcW w:type="dxa" w:w="4536"/>
          </w:tcPr>
          <w:p>
            <w:pPr>
              <w:ind w:firstLine="0"/>
            </w:pPr>
            <w:r/>
            <w:r>
              <w:rPr>
                <w:rFonts w:ascii="Times New Roman" w:hAnsi="Times New Roman" w:eastAsia="宋体"/>
                <w:b w:val="0"/>
                <w:sz w:val="20"/>
              </w:rPr>
              <w:t>`main.py`（`train` / `detect` / `run`）</w:t>
            </w:r>
          </w:p>
        </w:tc>
      </w:tr>
    </w:tbl>
    <w:p/>
    <w:p>
      <w:pPr>
        <w:pStyle w:val="Heading2"/>
        <w:spacing w:before="240" w:after="120"/>
        <w:ind w:firstLine="0"/>
      </w:pPr>
      <w:r>
        <w:rPr>
          <w:rFonts w:ascii="Times New Roman" w:hAnsi="Times New Roman" w:eastAsia="黑体"/>
          <w:b/>
          <w:sz w:val="28"/>
        </w:rPr>
        <w:t>附录 B 投稿前数据与实验检查清单</w:t>
      </w:r>
    </w:p>
    <w:p>
      <w:pPr>
        <w:pStyle w:val="ListBullet"/>
        <w:ind w:firstLine="0"/>
      </w:pPr>
      <w:r>
        <w:rPr>
          <w:rFonts w:ascii="Times New Roman" w:hAnsi="Times New Roman" w:eastAsia="宋体"/>
          <w:sz w:val="24"/>
        </w:rPr>
        <w:t>[ ] 训练集/验证集/测试集均有成对图像与标签，且类别顺序一致</w:t>
      </w:r>
    </w:p>
    <w:p>
      <w:pPr>
        <w:pStyle w:val="ListBullet"/>
        <w:ind w:firstLine="0"/>
      </w:pPr>
      <w:r>
        <w:rPr>
          <w:rFonts w:ascii="Times New Roman" w:hAnsi="Times New Roman" w:eastAsia="宋体"/>
          <w:sz w:val="24"/>
        </w:rPr>
        <w:t>[ ] 按地块/日期划分，报告划分协议</w:t>
      </w:r>
    </w:p>
    <w:p>
      <w:pPr>
        <w:pStyle w:val="ListBullet"/>
        <w:ind w:firstLine="0"/>
      </w:pPr>
      <w:r>
        <w:rPr>
          <w:rFonts w:ascii="Times New Roman" w:hAnsi="Times New Roman" w:eastAsia="宋体"/>
          <w:sz w:val="24"/>
        </w:rPr>
        <w:t>[ ] 完成表 1–表 3 全部实测，含均值±方差</w:t>
      </w:r>
    </w:p>
    <w:p>
      <w:pPr>
        <w:pStyle w:val="ListBullet"/>
        <w:ind w:firstLine="0"/>
      </w:pPr>
      <w:r>
        <w:rPr>
          <w:rFonts w:ascii="Times New Roman" w:hAnsi="Times New Roman" w:eastAsia="宋体"/>
          <w:sz w:val="24"/>
        </w:rPr>
        <w:t>[ ] 提供难例阈值敏感性曲线</w:t>
      </w:r>
    </w:p>
    <w:p>
      <w:pPr>
        <w:pStyle w:val="ListBullet"/>
        <w:ind w:firstLine="0"/>
      </w:pPr>
      <w:r>
        <w:rPr>
          <w:rFonts w:ascii="Times New Roman" w:hAnsi="Times New Roman" w:eastAsia="宋体"/>
          <w:sz w:val="24"/>
        </w:rPr>
        <w:t>[ ] 提供跨日期或跨地块泛化结果</w:t>
      </w:r>
    </w:p>
    <w:p>
      <w:pPr>
        <w:pStyle w:val="ListBullet"/>
        <w:ind w:firstLine="0"/>
      </w:pPr>
      <w:r>
        <w:rPr>
          <w:rFonts w:ascii="Times New Roman" w:hAnsi="Times New Roman" w:eastAsia="宋体"/>
          <w:sz w:val="24"/>
        </w:rPr>
        <w:t>[ ] 提供伦理与数据使用说明；移除代码中的密钥</w:t>
      </w:r>
    </w:p>
    <w:p>
      <w:pPr>
        <w:pStyle w:val="ListBullet"/>
        <w:ind w:firstLine="0"/>
      </w:pPr>
      <w:r>
        <w:rPr>
          <w:rFonts w:ascii="Times New Roman" w:hAnsi="Times New Roman" w:eastAsia="宋体"/>
          <w:sz w:val="24"/>
        </w:rPr>
        <w:t>[ ] 英文稿润色与期刊模板排版（二区期刊多为英文）</w:t>
      </w:r>
    </w:p>
    <w:p>
      <w:pPr>
        <w:pStyle w:val="Heading2"/>
        <w:spacing w:before="240" w:after="120"/>
        <w:ind w:firstLine="0"/>
      </w:pPr>
      <w:r>
        <w:rPr>
          <w:rFonts w:ascii="Times New Roman" w:hAnsi="Times New Roman" w:eastAsia="黑体"/>
          <w:b/>
          <w:sz w:val="28"/>
        </w:rPr>
        <w:t>附录 C 英文题名与摘要草稿（便于后续英文化）</w:t>
      </w:r>
    </w:p>
    <w:p>
      <w:pPr>
        <w:spacing w:line="360" w:lineRule="auto"/>
        <w:ind w:firstLine="420"/>
      </w:pPr>
      <w:r>
        <w:rPr>
          <w:rFonts w:ascii="Times New Roman" w:hAnsi="Times New Roman" w:eastAsia="宋体"/>
          <w:b/>
          <w:sz w:val="24"/>
        </w:rPr>
        <w:t>Title:</w:t>
      </w:r>
      <w:r>
        <w:rPr>
          <w:rFonts w:ascii="Times New Roman" w:hAnsi="Times New Roman" w:eastAsia="宋体"/>
          <w:sz w:val="24"/>
        </w:rPr>
        <w:t xml:space="preserve"> Hard-Example-Driven YOLO–SAM–LLM Closed Loop for Seedling-Stage Crop–Weed Detection and Quality Inspection in Precision Agriculture</w:t>
      </w:r>
    </w:p>
    <w:p>
      <w:pPr>
        <w:spacing w:line="360" w:lineRule="auto"/>
        <w:ind w:firstLine="420"/>
      </w:pPr>
      <w:r>
        <w:rPr>
          <w:rFonts w:ascii="Times New Roman" w:hAnsi="Times New Roman" w:eastAsia="宋体"/>
          <w:b/>
          <w:sz w:val="24"/>
        </w:rPr>
        <w:t>Abstract (draft):</w:t>
      </w:r>
      <w:r>
        <w:rPr>
          <w:rFonts w:ascii="Times New Roman" w:hAnsi="Times New Roman" w:eastAsia="宋体"/>
          <w:sz w:val="24"/>
        </w:rPr>
        <w:t xml:space="preserve"> Seedling-stage weed management requires reliable discrimination among maize seedlings, broadleaf weeds, and grass weeds under occlusion, scale variation, and appearance ambiguity. We present a responsibility-decoupled closed-loop framework in which YOLO serves as the real-time detector and the sole source of classification confidence for mAP evaluation; a transparent hard-example score allocates Segment Anything Model (SAM) refinement only to uncertain boxes or crowded images, replacing boxes with mask-derived bounding boxes without altering class labels; and a large language model consumes structured summaries—not raw images—to produce JSON quality-control findings and Chinese agronomic reports without rewriting detections. The design clarifies evaluation boundaries, controls foundation-model cost, and enables SAM label feedback for semi-automatic annotation. We detail the scoring function, fusion rules, and a journal-oriented experimental protocol for future large-scale field validation.</w:t>
      </w:r>
    </w:p>
    <w:p>
      <w:pPr>
        <w:spacing w:line="360" w:lineRule="auto"/>
        <w:ind w:firstLine="420"/>
      </w:pPr>
      <w:r>
        <w:rPr>
          <w:rFonts w:ascii="Times New Roman" w:hAnsi="Times New Roman" w:eastAsia="宋体"/>
          <w:b/>
          <w:sz w:val="24"/>
        </w:rPr>
        <w:t>【初稿结语】</w:t>
      </w:r>
    </w:p>
    <w:p>
      <w:pPr>
        <w:spacing w:line="360" w:lineRule="auto"/>
        <w:ind w:firstLine="420"/>
      </w:pPr>
      <w:r>
        <w:rPr>
          <w:rFonts w:ascii="Times New Roman" w:hAnsi="Times New Roman" w:eastAsia="宋体"/>
          <w:sz w:val="24"/>
        </w:rPr>
        <w:t>本稿方法部分可与现有代码一一对应，适合作为课题开题/方法章节底稿。若目标是二区及以上正式发表，下一步优先级应是：</w:t>
      </w:r>
      <w:r>
        <w:rPr>
          <w:rFonts w:ascii="Times New Roman" w:hAnsi="Times New Roman" w:eastAsia="宋体"/>
          <w:b/>
          <w:sz w:val="24"/>
        </w:rPr>
        <w:t>扩数据 → 严格划分 → 跑基线与消融 → 填真实表 → 英文化投 Computers and Electronics in Agriculture 等期刊</w:t>
      </w:r>
      <w:r>
        <w:rPr>
          <w:rFonts w:ascii="Times New Roman" w:hAnsi="Times New Roman" w:eastAsia="宋体"/>
          <w:sz w:val="24"/>
        </w:rPr>
        <w:t>，而不是继续增加模型堆叠。如需，可在实测数据就绪后，将第 4 节占位表替换为正式结果并扩写讨论。</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20"/>
    </w:pPr>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