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/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m:oMathPara>
        <m:oMath>
          <m:r>
            <m:rPr>
              <m:sty m:val="i"/>
            </m:rPr>
            <m:t xml:space="preserve">P</m:t>
          </m:r>
          <m:r>
            <m:t xml:space="preserve">[</m:t>
          </m:r>
          <m:r>
            <m:rPr>
              <m:sty m:val="i"/>
            </m:rPr>
            <m:t xml:space="preserve">DS</m:t>
          </m:r>
          <m:r>
            <m:t xml:space="preserve"> ≥ </m:t>
          </m:r>
          <m:r>
            <m:rPr>
              <m:sty m:val="i"/>
            </m:rPr>
            <m:t xml:space="preserve">ds</m:t>
          </m:r>
          <m:r>
            <m:t xml:space="preserve"> | </m:t>
          </m:r>
          <m:r>
            <m:rPr>
              <m:sty m:val="i"/>
            </m:rPr>
            <m:t xml:space="preserve">Sa</m:t>
          </m:r>
          <m:r>
            <m:t xml:space="preserve">] = Φ </m:t>
          </m:r>
          <m:f>
            <m:num>
              <m:r>
                <m:t xml:space="preserve">ln(</m:t>
              </m:r>
              <m:r>
                <m:rPr>
                  <m:sty m:val="i"/>
                </m:rPr>
                <m:t xml:space="preserve">Sa</m:t>
              </m:r>
              <m:r>
                <m:t xml:space="preserve">) − ln(</m:t>
              </m:r>
              <m:r>
                <m:rPr>
                  <m:sty m:val="i"/>
                </m:rPr>
                <m:t xml:space="preserve">k</m:t>
              </m:r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θ</m:t>
                  </m:r>
                </m:e>
                <m:sub>
                  <m:r>
                    <m:t xml:space="preserve">ds,c</m:t>
                  </m:r>
                </m:sub>
              </m:sSub>
              <m:r>
                <m:t xml:space="preserve">)</m:t>
              </m:r>
            </m:num>
            <m:den>
              <m:r>
                <m:rPr>
                  <m:sty m:val="i"/>
                </m:rPr>
                <m:t xml:space="preserve">β</m:t>
              </m:r>
            </m:den>
          </m:f>
        </m:oMath>
      </m:oMathPara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m:oMathPara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t xml:space="preserve">j</m:t>
              </m:r>
            </m:sub>
          </m:sSub>
          <m:r>
            <m:t xml:space="preserve">(</m:t>
          </m:r>
          <m:r>
            <m:rPr>
              <m:sty m:val="i"/>
            </m:rPr>
            <m:t xml:space="preserve">k</m:t>
          </m:r>
          <m:r>
            <m:t xml:space="preserve">, </m:t>
          </m:r>
          <m:r>
            <m:rPr>
              <m:sty m:val="i"/>
            </m:rPr>
            <m:t xml:space="preserve">β</m:t>
          </m:r>
          <m:r>
            <m:t xml:space="preserve">) = </m:t>
          </m:r>
          <m:f>
            <m:num>
              <m:r>
                <m:t xml:space="preserve">1</m:t>
              </m:r>
            </m:num>
            <m:den>
              <m:r>
                <m:rPr>
                  <m:sty m:val="i"/>
                </m:rPr>
                <m:t xml:space="preserve">N</m:t>
              </m:r>
            </m:den>
          </m:f>
          <m:r>
            <m:t xml:space="preserve"> ·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j</m:t>
          </m:r>
          <m:r>
            <m:t xml:space="preserve"> | </m:t>
          </m:r>
          <m:sSub>
            <m:e>
              <m:r>
                <m:rPr>
                  <m:sty m:val="i"/>
                </m:rPr>
                <m:t xml:space="preserve">Sa</m:t>
              </m:r>
            </m:e>
            <m:sub>
              <m:r>
                <m:t xml:space="preserve">i</m:t>
              </m:r>
            </m:sub>
          </m:sSub>
          <m:r>
            <m:t xml:space="preserve">, </m:t>
          </m:r>
          <m:sSub>
            <m:e>
              <m:r>
                <m:rPr>
                  <m:sty m:val="i"/>
                </m:rPr>
                <m:t xml:space="preserve">HWB</m:t>
              </m:r>
            </m:e>
            <m:sub>
              <m:r>
                <m:t xml:space="preserve">i</m:t>
              </m:r>
            </m:sub>
          </m:sSub>
          <m:r>
            <m:t xml:space="preserve">, </m:t>
          </m:r>
          <m:r>
            <m:rPr>
              <m:sty m:val="i"/>
            </m:rPr>
            <m:t xml:space="preserve">k</m:t>
          </m:r>
          <m:r>
            <m:t xml:space="preserve">, </m:t>
          </m:r>
          <m:r>
            <m:rPr>
              <m:sty m:val="i"/>
            </m:rPr>
            <m:t xml:space="preserve">β</m:t>
          </m:r>
          <m:r>
            <m:t xml:space="preserve">)</m:t>
          </m:r>
        </m:oMath>
      </m:oMathPara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/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m:oMathPara>
        <m:oMath>
          <m:r>
            <m:rPr>
              <m:sty m:val="i"/>
            </m:rPr>
            <m:t xml:space="preserve">E</m:t>
          </m:r>
          <m:r>
            <m:t xml:space="preserve">[</m:t>
          </m:r>
          <m:r>
            <m:rPr>
              <m:sty m:val="i"/>
            </m:rPr>
            <m:t xml:space="preserve">Loss</m:t>
          </m:r>
          <m:r>
            <m:t xml:space="preserve">] =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DR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RCV</m:t>
          </m:r>
        </m:oMath>
      </m:oMathPara>
    </w:p>
    <w:p>
      <w:pPr>
        <w:pStyle w:val="Heading3"/>
      </w:pPr>
      <w:r>
        <w:t>9.6.1 Formula</w:t>
      </w:r>
    </w:p>
    <w:p>
      <m:oMathPara>
        <m:oMath>
          <m:r>
            <m:rPr>
              <m:sty m:val="i"/>
            </m:rPr>
            <m:t xml:space="preserve">RCV</m:t>
          </m:r>
          <m:r>
            <m:t xml:space="preserve"> =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t xml:space="preserve">deck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t xml:space="preserve">base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material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span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skew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seismic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region</m:t>
              </m:r>
            </m:sub>
          </m:sSub>
        </m:oMath>
      </m:oMathPara>
    </w:p>
    <w:p>
      <w:r>
        <w:t>Where:</w:t>
      </w:r>
    </w:p>
    <w:p>
      <m:oMathPara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t xml:space="preserve">deck</m:t>
              </m:r>
            </m:sub>
          </m:sSub>
          <m:r>
            <m:t xml:space="preserve"> = </m:t>
          </m:r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structure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W</m:t>
              </m:r>
            </m:e>
            <m:sub>
              <m:r>
                <m:t xml:space="preserve">deck</m:t>
              </m:r>
            </m:sub>
          </m:sSub>
          <m:r>
            <m:t xml:space="preserve">   [m²]</m:t>
          </m:r>
        </m:oMath>
      </m:oMathPara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C</m:t>
            </m:r>
          </m:e>
          <m:sub>
            <m:r>
              <m:t xml:space="preserve">base</m:t>
            </m:r>
          </m:sub>
        </m:sSub>
      </m:oMath>
      <w:r>
        <w:rPr>
          <w:sz w:val="22"/>
        </w:rPr>
        <w:t xml:space="preserve"> = FHWA 2024 state-level blended rate ($/m²). Default: $5,005/m² for California NHS bridges.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f</m:t>
            </m:r>
          </m:e>
          <m:sub>
            <m:r>
              <m:t xml:space="preserve">material</m:t>
            </m:r>
          </m:sub>
        </m:sSub>
      </m:oMath>
      <w:r>
        <w:rPr>
          <w:sz w:val="22"/>
        </w:rPr>
        <w:t xml:space="preserve"> = material-type adjustment factor. Concrete = 0.90, Steel = 1.15, Prestressed = 1.00, Wood = 0.65, Other = 0.95.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f</m:t>
            </m:r>
          </m:e>
          <m:sub>
            <m:r>
              <m:t xml:space="preserve">span</m:t>
            </m:r>
          </m:sub>
        </m:sSub>
      </m:oMath>
      <w:r>
        <w:rPr>
          <w:sz w:val="22"/>
        </w:rPr>
        <w:t xml:space="preserve"> = span complexity factor based on max span length (NBI Item 048). Values: &lt;30m = 1.00, 30–60m = 1.10, 60–120m = 1.25, &gt;120m = 1.50.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f</m:t>
            </m:r>
          </m:e>
          <m:sub>
            <m:r>
              <m:t xml:space="preserve">skew</m:t>
            </m:r>
          </m:sub>
        </m:sSub>
      </m:oMath>
      <w:r>
        <w:rPr>
          <w:sz w:val="22"/>
        </w:rPr>
        <w:t xml:space="preserve"> = skew angle construction difficulty factor (NBI Item 034). Values: &lt;15° = 1.00, 15–30° = 1.05, 30–45° = 1.10, &gt;45° = 1.20.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f</m:t>
            </m:r>
          </m:e>
          <m:sub>
            <m:r>
              <m:t xml:space="preserve">seismic</m:t>
            </m:r>
          </m:sub>
        </m:sSub>
      </m:oMath>
      <w:r>
        <w:rPr>
          <w:sz w:val="22"/>
        </w:rPr>
        <w:t xml:space="preserve"> = seismic design era factor from year_built (NBI Item 027). Pre-1975 = 1.00, 1975–1990 = 1.10, Post-1990 = 1.15.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f</m:t>
            </m:r>
          </m:e>
          <m:sub>
            <m:r>
              <m:t xml:space="preserve">region</m:t>
            </m:r>
          </m:sub>
        </m:sSub>
      </m:oMath>
      <w:r>
        <w:rPr>
          <w:sz w:val="22"/>
        </w:rPr>
        <w:t xml:space="preserve"> = regional cost adjustment (default 1.0, since base rate is already state-specific).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rPr>
          <w:sz w:val="22"/>
        </w:rPr>
        <w:t xml:space="preserve">  </w:t>
      </w:r>
      <m:oMath>
        <m:sSub>
          <m:e>
            <m:r>
              <m:rPr>
                <m:sty m:val="i"/>
              </m:rPr>
              <m:t xml:space="preserve">A</m:t>
            </m:r>
          </m:e>
          <m:sub>
            <m:r>
              <m:t xml:space="preserve">deck</m:t>
            </m:r>
          </m:sub>
        </m:sSub>
        <m:r>
          <m:t xml:space="preserve"> = </m:t>
        </m:r>
        <m:sSub>
          <m:e>
            <m:r>
              <m:rPr>
                <m:sty m:val="i"/>
              </m:rPr>
              <m:t xml:space="preserve">L</m:t>
            </m:r>
          </m:e>
          <m:sub>
            <m:r>
              <m:t xml:space="preserve">structure</m:t>
            </m:r>
          </m:sub>
        </m:sSub>
        <m:r>
          <m:t xml:space="preserve"> × </m:t>
        </m:r>
        <m:sSub>
          <m:e>
            <m:r>
              <m:rPr>
                <m:sty m:val="i"/>
              </m:rPr>
              <m:t xml:space="preserve">W</m:t>
            </m:r>
          </m:e>
          <m:sub>
            <m:r>
              <m:t xml:space="preserve">deck</m:t>
            </m:r>
          </m:sub>
        </m:sSub>
      </m:oMath>
      <w:r>
        <w:rPr>
          <w:sz w:val="22"/>
        </w:rPr>
        <w:t xml:space="preserve">  (NBI Item 049 × NBI Item 052), in m²</w:t>
      </w:r>
    </w:p>
    <w:p/>
    <w:p>
      <w:r>
        <w:t>Stage 2 - Replacement Cost Value (RCV):</w:t>
      </w:r>
    </w:p>
    <w:p>
      <w:pPr>
        <w:jc w:val="center"/>
      </w:pPr>
      <w:r>
        <w:rPr>
          <w:rFonts w:ascii="Cambria Math" w:hAnsi="Cambria Math"/>
          <w:i/>
          <w:sz w:val="22"/>
        </w:rPr>
        <w:t>RCV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C</w:t>
      </w:r>
      <w:r>
        <w:rPr>
          <w:rFonts w:ascii="Cambria Math" w:hAnsi="Cambria Math"/>
          <w:i w:val="0"/>
          <w:sz w:val="22"/>
          <w:vertAlign w:val="subscript"/>
        </w:rPr>
        <w:t>base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material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span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skew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seismic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region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m:oMathPara>
        <m:oMath>
          <m:r>
            <m:rPr>
              <m:sty m:val="i"/>
            </m:rPr>
            <m:t xml:space="preserve">E</m:t>
          </m:r>
          <m:r>
            <m:t xml:space="preserve">[</m:t>
          </m:r>
          <m:r>
            <m:rPr>
              <m:sty m:val="i"/>
            </m:rPr>
            <m:t xml:space="preserve">Downtime</m:t>
          </m:r>
          <m:r>
            <m:t xml:space="preserve">] =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DT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)</m:t>
          </m:r>
        </m:oMath>
      </m:oMathPara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