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/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m:oMathPara>
        <m:oMath>
          <m:r>
            <m:rPr>
              <m:sty m:val="i"/>
            </m:rPr>
            <m:t xml:space="preserve">P</m:t>
          </m:r>
          <m:r>
            <m:t xml:space="preserve">[</m:t>
          </m:r>
          <m:r>
            <m:rPr>
              <m:sty m:val="i"/>
            </m:rPr>
            <m:t xml:space="preserve">DS</m:t>
          </m:r>
          <m:r>
            <m:t xml:space="preserve"> ≥ </m:t>
          </m:r>
          <m:r>
            <m:rPr>
              <m:sty m:val="i"/>
            </m:rPr>
            <m:t xml:space="preserve">ds</m:t>
          </m:r>
          <m:r>
            <m:t xml:space="preserve"> | </m:t>
          </m:r>
          <m:r>
            <m:rPr>
              <m:sty m:val="i"/>
            </m:rPr>
            <m:t xml:space="preserve">Sa</m:t>
          </m:r>
          <m:r>
            <m:t xml:space="preserve">] = Φ </m:t>
          </m:r>
          <m:f>
            <m:num>
              <m:r>
                <m:t xml:space="preserve">ln(</m:t>
              </m:r>
              <m:r>
                <m:rPr>
                  <m:sty m:val="i"/>
                </m:rPr>
                <m:t xml:space="preserve">Sa</m:t>
              </m:r>
              <m:r>
                <m:t xml:space="preserve">) − ln(</m:t>
              </m:r>
              <m:r>
                <m:rPr>
                  <m:sty m:val="i"/>
                </m:rPr>
                <m:t xml:space="preserve">k</m:t>
              </m:r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θ</m:t>
                  </m:r>
                </m:e>
                <m:sub>
                  <m:r>
                    <m:t xml:space="preserve">ds,c</m:t>
                  </m:r>
                </m:sub>
              </m:sSub>
              <m:r>
                <m:t xml:space="preserve">)</m:t>
              </m:r>
            </m:num>
            <m:den>
              <m:r>
                <m:rPr>
                  <m:sty m:val="i"/>
                </m:rPr>
                <m:t xml:space="preserve">β</m:t>
              </m:r>
            </m:den>
          </m:f>
        </m:oMath>
      </m:oMathPara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m:oMathPara>
        <m:oMath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t xml:space="preserve">j</m:t>
              </m:r>
            </m:sub>
          </m:sSub>
          <m:r>
            <m:t xml:space="preserve">(</m:t>
          </m:r>
          <m:r>
            <m:rPr>
              <m:sty m:val="i"/>
            </m:rPr>
            <m:t xml:space="preserve">k</m:t>
          </m:r>
          <m:r>
            <m:t xml:space="preserve">, </m:t>
          </m:r>
          <m:r>
            <m:rPr>
              <m:sty m:val="i"/>
            </m:rPr>
            <m:t xml:space="preserve">β</m:t>
          </m:r>
          <m:r>
            <m:t xml:space="preserve">) = </m:t>
          </m:r>
          <m:f>
            <m:num>
              <m:r>
                <m:t xml:space="preserve">1</m:t>
              </m:r>
            </m:num>
            <m:den>
              <m:r>
                <m:rPr>
                  <m:sty m:val="i"/>
                </m:rPr>
                <m:t xml:space="preserve">N</m:t>
              </m:r>
            </m:den>
          </m:f>
          <m:r>
            <m:t xml:space="preserve"> · </m:t>
          </m:r>
          <m:r>
            <m:t xml:space="preserve">Σ </m:t>
          </m:r>
          <m:r>
            <m:rPr>
              <m:sty m:val="i"/>
            </m:rPr>
            <m:t xml:space="preserve">P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 = </m:t>
          </m:r>
          <m:r>
            <m:rPr>
              <m:sty m:val="i"/>
            </m:rPr>
            <m:t xml:space="preserve">j</m:t>
          </m:r>
          <m:r>
            <m:t xml:space="preserve"> | </m:t>
          </m:r>
          <m:sSub>
            <m:e>
              <m:r>
                <m:rPr>
                  <m:sty m:val="i"/>
                </m:rPr>
                <m:t xml:space="preserve">Sa</m:t>
              </m:r>
            </m:e>
            <m:sub>
              <m:r>
                <m:t xml:space="preserve">i</m:t>
              </m:r>
            </m:sub>
          </m:sSub>
          <m:r>
            <m:t xml:space="preserve">, </m:t>
          </m:r>
          <m:sSub>
            <m:e>
              <m:r>
                <m:rPr>
                  <m:sty m:val="i"/>
                </m:rPr>
                <m:t xml:space="preserve">HWB</m:t>
              </m:r>
            </m:e>
            <m:sub>
              <m:r>
                <m:t xml:space="preserve">i</m:t>
              </m:r>
            </m:sub>
          </m:sSub>
          <m:r>
            <m:t xml:space="preserve">, </m:t>
          </m:r>
          <m:r>
            <m:rPr>
              <m:sty m:val="i"/>
            </m:rPr>
            <m:t xml:space="preserve">k</m:t>
          </m:r>
          <m:r>
            <m:t xml:space="preserve">, </m:t>
          </m:r>
          <m:r>
            <m:rPr>
              <m:sty m:val="i"/>
            </m:rPr>
            <m:t xml:space="preserve">β</m:t>
          </m:r>
          <m:r>
            <m:t xml:space="preserve">)</m:t>
          </m:r>
        </m:oMath>
      </m:oMathPara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/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>
      <m:oMathPara>
        <m:oMath>
          <m:r>
            <m:rPr>
              <m:sty m:val="i"/>
            </m:rPr>
            <m:t xml:space="preserve">E</m:t>
          </m:r>
          <m:r>
            <m:t xml:space="preserve">[</m:t>
          </m:r>
          <m:r>
            <m:rPr>
              <m:sty m:val="i"/>
            </m:rPr>
            <m:t xml:space="preserve">Loss</m:t>
          </m:r>
          <m:r>
            <m:t xml:space="preserve">] = </m:t>
          </m:r>
          <m:r>
            <m:t xml:space="preserve">Σ </m:t>
          </m:r>
          <m:r>
            <m:rPr>
              <m:sty m:val="i"/>
            </m:rPr>
            <m:t xml:space="preserve">P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 = </m:t>
          </m:r>
          <m:r>
            <m:rPr>
              <m:sty m:val="i"/>
            </m:rPr>
            <m:t xml:space="preserve">ds</m:t>
          </m:r>
          <m:r>
            <m:t xml:space="preserve">) × </m:t>
          </m:r>
          <m:r>
            <m:rPr>
              <m:sty m:val="i"/>
            </m:rPr>
            <m:t xml:space="preserve">DR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) × </m:t>
          </m:r>
          <m:r>
            <m:rPr>
              <m:sty m:val="i"/>
            </m:rPr>
            <m:t xml:space="preserve">RCV</m:t>
          </m:r>
        </m:oMath>
      </m:oMathPara>
    </w:p>
    <w:p>
      <w:pPr>
        <w:pStyle w:val="Heading3"/>
      </w:pPr>
      <w:r>
        <w:t>9.6.1 Formula</w:t>
      </w:r>
    </w:p>
    <w:p>
      <m:oMathPara>
        <m:oMath>
          <m:r>
            <m:rPr>
              <m:sty m:val="i"/>
            </m:rPr>
            <m:t xml:space="preserve">RCV</m:t>
          </m:r>
          <m:r>
            <m:t xml:space="preserve"> =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t xml:space="preserve">deck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t xml:space="preserve">base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material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span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skew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seismic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f</m:t>
              </m:r>
            </m:e>
            <m:sub>
              <m:r>
                <m:t xml:space="preserve">region</m:t>
              </m:r>
            </m:sub>
          </m:sSub>
        </m:oMath>
      </m:oMathPara>
    </w:p>
    <w:p>
      <w:r>
        <w:t>Where:</w:t>
      </w:r>
    </w:p>
    <w:p>
      <m:oMathPara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t xml:space="preserve">deck</m:t>
              </m:r>
            </m:sub>
          </m:sSub>
          <m:r>
            <m:t xml:space="preserve"> = </m:t>
          </m:r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structure</m:t>
              </m:r>
            </m:sub>
          </m:sSub>
          <m:r>
            <m:t xml:space="preserve"> × </m:t>
          </m:r>
          <m:sSub>
            <m:e>
              <m:r>
                <m:rPr>
                  <m:sty m:val="i"/>
                </m:rPr>
                <m:t xml:space="preserve">W</m:t>
              </m:r>
            </m:e>
            <m:sub>
              <m:r>
                <m:t xml:space="preserve">deck</m:t>
              </m:r>
            </m:sub>
          </m:sSub>
          <m:r>
            <m:t xml:space="preserve">   [m²]</m:t>
          </m:r>
        </m:oMath>
      </m:oMathPara>
    </w:p>
    <w:p>
      <w:r>
        <w:t xml:space="preserve">  - base_unit_cost = FHWA 2024 state-level blended rate ($/m2)</w:t>
      </w:r>
    </w:p>
    <w:p>
      <w:r>
        <w:t xml:space="preserve">  - f_material = material-type adjustment (concrete, steel, prestressed, wood)</w:t>
      </w:r>
    </w:p>
    <w:p>
      <w:r>
        <w:t xml:space="preserve">  - f_span = max span length complexity factor (NBI Item 048)</w:t>
      </w:r>
    </w:p>
    <w:p>
      <w:r>
        <w:t xml:space="preserve">  - f_skew = skew angle construction difficulty factor (NBI Item 034)</w:t>
      </w:r>
    </w:p>
    <w:p>
      <w:r>
        <w:t xml:space="preserve">  - f_seismic = seismic design era factor (from year_built, NBI Item 027)</w:t>
      </w:r>
    </w:p>
    <w:p>
      <w:r>
        <w:t xml:space="preserve">  - f_region = regional cost adjustment (default 1.0, since base rate is state-specific)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3"/>
      </w:pPr>
      <w:r>
        <w:t>9.6.9 NBI Material Code Mapping</w:t>
      </w:r>
    </w:p>
    <w:p>
      <w:r>
        <w:t>NBI Item 043A (Kind of Material/Design) maps to the material category used for cost factor lookup. The mapping is defined in src/data_loader.py.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NBI 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Framework 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Factor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Concrete Continuous</w:t>
            </w:r>
          </w:p>
        </w:tc>
        <w:tc>
          <w:tcPr>
            <w:tcW w:type="dxa" w:w="2160"/>
          </w:tcPr>
          <w:p>
            <w:r>
              <w:t>concrete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Steel Continuous</w:t>
            </w:r>
          </w:p>
        </w:tc>
        <w:tc>
          <w:tcPr>
            <w:tcW w:type="dxa" w:w="2160"/>
          </w:tcPr>
          <w:p>
            <w:r>
              <w:t>steel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Prestressed Concrete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Prestressed Concrete Continuous</w:t>
            </w:r>
          </w:p>
        </w:tc>
        <w:tc>
          <w:tcPr>
            <w:tcW w:type="dxa" w:w="2160"/>
          </w:tcPr>
          <w:p>
            <w:r>
              <w:t>prestressed_concrete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or Timber</w:t>
            </w:r>
          </w:p>
        </w:tc>
        <w:tc>
          <w:tcPr>
            <w:tcW w:type="dxa" w:w="2160"/>
          </w:tcPr>
          <w:p>
            <w:r>
              <w:t>wood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Masonry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Aluminum, Wrought Iron, Cast Iron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</w:tbl>
    <w:p/>
    <w:p>
      <w:r>
        <w:t>Cost factors represent the relative cost of each material type compared to the FHWA blended average. Concrete is cheaper (0.90x) because formwork is simpler; steel is more expensive (1.15x) due to fabrication and erection costs. Prestressed concrete (1.00x) is the reference baseline.</w:t>
      </w:r>
    </w:p>
    <w:p>
      <w:pPr>
        <w:pStyle w:val="Heading3"/>
      </w:pPr>
      <w:r>
        <w:t>9.6.10 Material-to-HWB Class Mapping</w:t>
      </w:r>
    </w:p>
    <w:p>
      <w:r>
        <w:t>The HWB classification combines material, design type, span count, and design era. The following table shows the material-to-HWB mapping for the most common bridge types in the Northridge study area (12 classes present in the data).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HWB 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Design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Slight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 Complete (g)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Cost Factor Applied</w:t>
            </w:r>
          </w:p>
        </w:tc>
      </w:tr>
      <w:tr>
        <w:tc>
          <w:tcPr>
            <w:tcW w:type="dxa" w:w="1234"/>
          </w:tcPr>
          <w:p>
            <w:r>
              <w:t>HWB1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 bent, monolithic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box girder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HWB3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box girder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HWB5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HWB6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Multi-col.,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HWB7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Seismic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HWB8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 span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HWB10</w:t>
            </w:r>
          </w:p>
        </w:tc>
        <w:tc>
          <w:tcPr>
            <w:tcW w:type="dxa" w:w="1234"/>
          </w:tcPr>
          <w:p>
            <w:r>
              <w:t>Steel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1.15</w:t>
            </w:r>
          </w:p>
        </w:tc>
      </w:tr>
      <w:tr>
        <w:tc>
          <w:tcPr>
            <w:tcW w:type="dxa" w:w="1234"/>
          </w:tcPr>
          <w:p>
            <w:r>
              <w:t>HWB15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Single-col.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0.75</w:t>
            </w:r>
          </w:p>
        </w:tc>
        <w:tc>
          <w:tcPr>
            <w:tcW w:type="dxa" w:w="1234"/>
          </w:tcPr>
          <w:p>
            <w:r>
              <w:t>1.10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HWB16</w:t>
            </w:r>
          </w:p>
        </w:tc>
        <w:tc>
          <w:tcPr>
            <w:tcW w:type="dxa" w:w="1234"/>
          </w:tcPr>
          <w:p>
            <w:r>
              <w:t>Prestressed</w:t>
            </w:r>
          </w:p>
        </w:tc>
        <w:tc>
          <w:tcPr>
            <w:tcW w:type="dxa" w:w="1234"/>
          </w:tcPr>
          <w:p>
            <w:r>
              <w:t>Multi-col.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1.50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</w:tr>
      <w:tr>
        <w:tc>
          <w:tcPr>
            <w:tcW w:type="dxa" w:w="1234"/>
          </w:tcPr>
          <w:p>
            <w:r>
              <w:t>HWB17</w:t>
            </w:r>
          </w:p>
        </w:tc>
        <w:tc>
          <w:tcPr>
            <w:tcW w:type="dxa" w:w="1234"/>
          </w:tcPr>
          <w:p>
            <w:r>
              <w:t>Concrete</w:t>
            </w:r>
          </w:p>
        </w:tc>
        <w:tc>
          <w:tcPr>
            <w:tcW w:type="dxa" w:w="1234"/>
          </w:tcPr>
          <w:p>
            <w:r>
              <w:t>Single-col., non-CA</w:t>
            </w:r>
          </w:p>
        </w:tc>
        <w:tc>
          <w:tcPr>
            <w:tcW w:type="dxa" w:w="1234"/>
          </w:tcPr>
          <w:p>
            <w:r>
              <w:t>Conventional</w:t>
            </w:r>
          </w:p>
        </w:tc>
        <w:tc>
          <w:tcPr>
            <w:tcW w:type="dxa" w:w="1234"/>
          </w:tcPr>
          <w:p>
            <w:r>
              <w:t>0.25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</w:tr>
      <w:tr>
        <w:tc>
          <w:tcPr>
            <w:tcW w:type="dxa" w:w="1234"/>
          </w:tcPr>
          <w:p>
            <w:r>
              <w:t>HWB28</w:t>
            </w:r>
          </w:p>
        </w:tc>
        <w:tc>
          <w:tcPr>
            <w:tcW w:type="dxa" w:w="1234"/>
          </w:tcPr>
          <w:p>
            <w:r>
              <w:t>Other / Unclassified</w:t>
            </w:r>
          </w:p>
        </w:tc>
        <w:tc>
          <w:tcPr>
            <w:tcW w:type="dxa" w:w="1234"/>
          </w:tcPr>
          <w:p>
            <w:r>
              <w:t>All Other Bridges</w:t>
            </w:r>
          </w:p>
        </w:tc>
        <w:tc>
          <w:tcPr>
            <w:tcW w:type="dxa" w:w="1234"/>
          </w:tcPr>
          <w:p>
            <w:r>
              <w:t>Any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1.70</w:t>
            </w:r>
          </w:p>
        </w:tc>
        <w:tc>
          <w:tcPr>
            <w:tcW w:type="dxa" w:w="1234"/>
          </w:tcPr>
          <w:p>
            <w:r>
              <w:t>0.95</w:t>
            </w:r>
          </w:p>
        </w:tc>
      </w:tr>
    </w:tbl>
    <w:p/>
    <w:p>
      <w:pPr>
        <w:pStyle w:val="Heading3"/>
      </w:pPr>
      <w:r>
        <w:t>9.6.11 Complete FHWA 2024 State Unit Costs</w:t>
      </w:r>
    </w:p>
    <w:p>
      <w:r>
        <w:t>The following table provides FHWA-reported bridge replacement unit costs for all 50 states plus DC. Users should set base_unit_cost in config.yaml to match their study region. Costs are in $/ft2 of deck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Equivalent NHS ($/m2)</w:t>
            </w:r>
          </w:p>
        </w:tc>
      </w:tr>
      <w:tr>
        <w:tc>
          <w:tcPr>
            <w:tcW w:type="dxa" w:w="2160"/>
          </w:tcPr>
          <w:p>
            <w:r>
              <w:t>Alabama</w:t>
            </w:r>
          </w:p>
        </w:tc>
        <w:tc>
          <w:tcPr>
            <w:tcW w:type="dxa" w:w="2160"/>
          </w:tcPr>
          <w:p>
            <w:r>
              <w:t>190</w:t>
            </w:r>
          </w:p>
        </w:tc>
        <w:tc>
          <w:tcPr>
            <w:tcW w:type="dxa" w:w="2160"/>
          </w:tcPr>
          <w:p>
            <w:r>
              <w:t>183</w:t>
            </w:r>
          </w:p>
        </w:tc>
        <w:tc>
          <w:tcPr>
            <w:tcW w:type="dxa" w:w="2160"/>
          </w:tcPr>
          <w:p>
            <w:r>
              <w:t>2,045</w:t>
            </w:r>
          </w:p>
        </w:tc>
      </w:tr>
      <w:tr>
        <w:tc>
          <w:tcPr>
            <w:tcW w:type="dxa" w:w="2160"/>
          </w:tcPr>
          <w:p>
            <w:r>
              <w:t>Alaska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479</w:t>
            </w:r>
          </w:p>
        </w:tc>
        <w:tc>
          <w:tcPr>
            <w:tcW w:type="dxa" w:w="2160"/>
          </w:tcPr>
          <w:p>
            <w:r>
              <w:t>5,414</w:t>
            </w:r>
          </w:p>
        </w:tc>
      </w:tr>
      <w:tr>
        <w:tc>
          <w:tcPr>
            <w:tcW w:type="dxa" w:w="2160"/>
          </w:tcPr>
          <w:p>
            <w:r>
              <w:t>Arizona</w:t>
            </w:r>
          </w:p>
        </w:tc>
        <w:tc>
          <w:tcPr>
            <w:tcW w:type="dxa" w:w="2160"/>
          </w:tcPr>
          <w:p>
            <w:r>
              <w:t>221</w:t>
            </w:r>
          </w:p>
        </w:tc>
        <w:tc>
          <w:tcPr>
            <w:tcW w:type="dxa" w:w="2160"/>
          </w:tcPr>
          <w:p>
            <w:r>
              <w:t>216</w:t>
            </w:r>
          </w:p>
        </w:tc>
        <w:tc>
          <w:tcPr>
            <w:tcW w:type="dxa" w:w="2160"/>
          </w:tcPr>
          <w:p>
            <w:r>
              <w:t>2,379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483</w:t>
            </w:r>
          </w:p>
        </w:tc>
        <w:tc>
          <w:tcPr>
            <w:tcW w:type="dxa" w:w="2160"/>
          </w:tcPr>
          <w:p>
            <w:r>
              <w:t>5,005</w:t>
            </w:r>
          </w:p>
        </w:tc>
      </w:tr>
      <w:tr>
        <w:tc>
          <w:tcPr>
            <w:tcW w:type="dxa" w:w="2160"/>
          </w:tcPr>
          <w:p>
            <w:r>
              <w:t>Colorado</w:t>
            </w:r>
          </w:p>
        </w:tc>
        <w:tc>
          <w:tcPr>
            <w:tcW w:type="dxa" w:w="2160"/>
          </w:tcPr>
          <w:p>
            <w:r>
              <w:t>268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t>2,885</w:t>
            </w:r>
          </w:p>
        </w:tc>
      </w:tr>
      <w:tr>
        <w:tc>
          <w:tcPr>
            <w:tcW w:type="dxa" w:w="2160"/>
          </w:tcPr>
          <w:p>
            <w:r>
              <w:t>Connecticut</w:t>
            </w:r>
          </w:p>
        </w:tc>
        <w:tc>
          <w:tcPr>
            <w:tcW w:type="dxa" w:w="2160"/>
          </w:tcPr>
          <w:p>
            <w:r>
              <w:t>643</w:t>
            </w:r>
          </w:p>
        </w:tc>
        <w:tc>
          <w:tcPr>
            <w:tcW w:type="dxa" w:w="2160"/>
          </w:tcPr>
          <w:p>
            <w:r>
              <w:t>706</w:t>
            </w:r>
          </w:p>
        </w:tc>
        <w:tc>
          <w:tcPr>
            <w:tcW w:type="dxa" w:w="2160"/>
          </w:tcPr>
          <w:p>
            <w:r>
              <w:t>6,920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244</w:t>
            </w:r>
          </w:p>
        </w:tc>
        <w:tc>
          <w:tcPr>
            <w:tcW w:type="dxa" w:w="2160"/>
          </w:tcPr>
          <w:p>
            <w:r>
              <w:t>277</w:t>
            </w:r>
          </w:p>
        </w:tc>
        <w:tc>
          <w:tcPr>
            <w:tcW w:type="dxa" w:w="2160"/>
          </w:tcPr>
          <w:p>
            <w:r>
              <w:t>2,627</w:t>
            </w:r>
          </w:p>
        </w:tc>
      </w:tr>
      <w:tr>
        <w:tc>
          <w:tcPr>
            <w:tcW w:type="dxa" w:w="2160"/>
          </w:tcPr>
          <w:p>
            <w:r>
              <w:t>Georgia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210</w:t>
            </w:r>
          </w:p>
        </w:tc>
        <w:tc>
          <w:tcPr>
            <w:tcW w:type="dxa" w:w="2160"/>
          </w:tcPr>
          <w:p>
            <w:r>
              <w:t>2,217</w:t>
            </w:r>
          </w:p>
        </w:tc>
      </w:tr>
      <w:tr>
        <w:tc>
          <w:tcPr>
            <w:tcW w:type="dxa" w:w="2160"/>
          </w:tcPr>
          <w:p>
            <w:r>
              <w:t>Hawaii</w:t>
            </w:r>
          </w:p>
        </w:tc>
        <w:tc>
          <w:tcPr>
            <w:tcW w:type="dxa" w:w="2160"/>
          </w:tcPr>
          <w:p>
            <w:r>
              <w:t>1,435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15,447</w:t>
            </w:r>
          </w:p>
        </w:tc>
      </w:tr>
      <w:tr>
        <w:tc>
          <w:tcPr>
            <w:tcW w:type="dxa" w:w="2160"/>
          </w:tcPr>
          <w:p>
            <w:r>
              <w:t>Illinois</w:t>
            </w:r>
          </w:p>
        </w:tc>
        <w:tc>
          <w:tcPr>
            <w:tcW w:type="dxa" w:w="2160"/>
          </w:tcPr>
          <w:p>
            <w:r>
              <w:t>308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3,315</w:t>
            </w:r>
          </w:p>
        </w:tc>
      </w:tr>
      <w:tr>
        <w:tc>
          <w:tcPr>
            <w:tcW w:type="dxa" w:w="2160"/>
          </w:tcPr>
          <w:p>
            <w:r>
              <w:t>Iowa</w:t>
            </w:r>
          </w:p>
        </w:tc>
        <w:tc>
          <w:tcPr>
            <w:tcW w:type="dxa" w:w="2160"/>
          </w:tcPr>
          <w:p>
            <w:r>
              <w:t>149</w:t>
            </w:r>
          </w:p>
        </w:tc>
        <w:tc>
          <w:tcPr>
            <w:tcW w:type="dxa" w:w="2160"/>
          </w:tcPr>
          <w:p>
            <w:r>
              <w:t>139</w:t>
            </w:r>
          </w:p>
        </w:tc>
        <w:tc>
          <w:tcPr>
            <w:tcW w:type="dxa" w:w="2160"/>
          </w:tcPr>
          <w:p>
            <w:r>
              <w:t>1,604</w:t>
            </w:r>
          </w:p>
        </w:tc>
      </w:tr>
      <w:tr>
        <w:tc>
          <w:tcPr>
            <w:tcW w:type="dxa" w:w="2160"/>
          </w:tcPr>
          <w:p>
            <w:r>
              <w:t>Massachusetts</w:t>
            </w:r>
          </w:p>
        </w:tc>
        <w:tc>
          <w:tcPr>
            <w:tcW w:type="dxa" w:w="2160"/>
          </w:tcPr>
          <w:p>
            <w:r>
              <w:t>1,606</w:t>
            </w:r>
          </w:p>
        </w:tc>
        <w:tc>
          <w:tcPr>
            <w:tcW w:type="dxa" w:w="2160"/>
          </w:tcPr>
          <w:p>
            <w:r>
              <w:t>816</w:t>
            </w:r>
          </w:p>
        </w:tc>
        <w:tc>
          <w:tcPr>
            <w:tcW w:type="dxa" w:w="2160"/>
          </w:tcPr>
          <w:p>
            <w:r>
              <w:t>17,287</w:t>
            </w:r>
          </w:p>
        </w:tc>
      </w:tr>
      <w:tr>
        <w:tc>
          <w:tcPr>
            <w:tcW w:type="dxa" w:w="2160"/>
          </w:tcPr>
          <w:p>
            <w:r>
              <w:t>Michigan</w:t>
            </w:r>
          </w:p>
        </w:tc>
        <w:tc>
          <w:tcPr>
            <w:tcW w:type="dxa" w:w="2160"/>
          </w:tcPr>
          <w:p>
            <w:r>
              <w:t>321</w:t>
            </w:r>
          </w:p>
        </w:tc>
        <w:tc>
          <w:tcPr>
            <w:tcW w:type="dxa" w:w="2160"/>
          </w:tcPr>
          <w:p>
            <w:r>
              <w:t>238</w:t>
            </w:r>
          </w:p>
        </w:tc>
        <w:tc>
          <w:tcPr>
            <w:tcW w:type="dxa" w:w="2160"/>
          </w:tcPr>
          <w:p>
            <w:r>
              <w:t>3,455</w:t>
            </w:r>
          </w:p>
        </w:tc>
      </w:tr>
      <w:tr>
        <w:tc>
          <w:tcPr>
            <w:tcW w:type="dxa" w:w="2160"/>
          </w:tcPr>
          <w:p>
            <w:r>
              <w:t>New Jersey</w:t>
            </w:r>
          </w:p>
        </w:tc>
        <w:tc>
          <w:tcPr>
            <w:tcW w:type="dxa" w:w="2160"/>
          </w:tcPr>
          <w:p>
            <w:r>
              <w:t>840</w:t>
            </w:r>
          </w:p>
        </w:tc>
        <w:tc>
          <w:tcPr>
            <w:tcW w:type="dxa" w:w="2160"/>
          </w:tcPr>
          <w:p>
            <w:r>
              <w:t>775</w:t>
            </w:r>
          </w:p>
        </w:tc>
        <w:tc>
          <w:tcPr>
            <w:tcW w:type="dxa" w:w="2160"/>
          </w:tcPr>
          <w:p>
            <w:r>
              <w:t>9,042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792</w:t>
            </w:r>
          </w:p>
        </w:tc>
        <w:tc>
          <w:tcPr>
            <w:tcW w:type="dxa" w:w="2160"/>
          </w:tcPr>
          <w:p>
            <w:r>
              <w:t>524</w:t>
            </w:r>
          </w:p>
        </w:tc>
        <w:tc>
          <w:tcPr>
            <w:tcW w:type="dxa" w:w="2160"/>
          </w:tcPr>
          <w:p>
            <w:r>
              <w:t>8,525</w:t>
            </w:r>
          </w:p>
        </w:tc>
      </w:tr>
      <w:tr>
        <w:tc>
          <w:tcPr>
            <w:tcW w:type="dxa" w:w="2160"/>
          </w:tcPr>
          <w:p>
            <w:r>
              <w:t>Ohio</w:t>
            </w:r>
          </w:p>
        </w:tc>
        <w:tc>
          <w:tcPr>
            <w:tcW w:type="dxa" w:w="2160"/>
          </w:tcPr>
          <w:p>
            <w:r>
              <w:t>279</w:t>
            </w:r>
          </w:p>
        </w:tc>
        <w:tc>
          <w:tcPr>
            <w:tcW w:type="dxa" w:w="2160"/>
          </w:tcPr>
          <w:p>
            <w:r>
              <w:t>282</w:t>
            </w:r>
          </w:p>
        </w:tc>
        <w:tc>
          <w:tcPr>
            <w:tcW w:type="dxa" w:w="2160"/>
          </w:tcPr>
          <w:p>
            <w:r>
              <w:t>3,003</w:t>
            </w:r>
          </w:p>
        </w:tc>
      </w:tr>
      <w:tr>
        <w:tc>
          <w:tcPr>
            <w:tcW w:type="dxa" w:w="2160"/>
          </w:tcPr>
          <w:p>
            <w:r>
              <w:t>Oregon</w:t>
            </w:r>
          </w:p>
        </w:tc>
        <w:tc>
          <w:tcPr>
            <w:tcW w:type="dxa" w:w="2160"/>
          </w:tcPr>
          <w:p>
            <w:r>
              <w:t>330</w:t>
            </w:r>
          </w:p>
        </w:tc>
        <w:tc>
          <w:tcPr>
            <w:tcW w:type="dxa" w:w="2160"/>
          </w:tcPr>
          <w:p>
            <w:r>
              <w:t>372</w:t>
            </w:r>
          </w:p>
        </w:tc>
        <w:tc>
          <w:tcPr>
            <w:tcW w:type="dxa" w:w="2160"/>
          </w:tcPr>
          <w:p>
            <w:r>
              <w:t>3,552</w:t>
            </w:r>
          </w:p>
        </w:tc>
      </w:tr>
      <w:tr>
        <w:tc>
          <w:tcPr>
            <w:tcW w:type="dxa" w:w="2160"/>
          </w:tcPr>
          <w:p>
            <w:r>
              <w:t>Pennsylvania</w:t>
            </w:r>
          </w:p>
        </w:tc>
        <w:tc>
          <w:tcPr>
            <w:tcW w:type="dxa" w:w="2160"/>
          </w:tcPr>
          <w:p>
            <w:r>
              <w:t>437</w:t>
            </w:r>
          </w:p>
        </w:tc>
        <w:tc>
          <w:tcPr>
            <w:tcW w:type="dxa" w:w="2160"/>
          </w:tcPr>
          <w:p>
            <w:r>
              <w:t>444</w:t>
            </w:r>
          </w:p>
        </w:tc>
        <w:tc>
          <w:tcPr>
            <w:tcW w:type="dxa" w:w="2160"/>
          </w:tcPr>
          <w:p>
            <w:r>
              <w:t>4,703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109</w:t>
            </w:r>
          </w:p>
        </w:tc>
        <w:tc>
          <w:tcPr>
            <w:tcW w:type="dxa" w:w="2160"/>
          </w:tcPr>
          <w:p>
            <w:r>
              <w:t>125</w:t>
            </w:r>
          </w:p>
        </w:tc>
        <w:tc>
          <w:tcPr>
            <w:tcW w:type="dxa" w:w="2160"/>
          </w:tcPr>
          <w:p>
            <w:r>
              <w:t>1,173</w:t>
            </w:r>
          </w:p>
        </w:tc>
      </w:tr>
      <w:tr>
        <w:tc>
          <w:tcPr>
            <w:tcW w:type="dxa" w:w="2160"/>
          </w:tcPr>
          <w:p>
            <w:r>
              <w:t>Washington</w:t>
            </w:r>
          </w:p>
        </w:tc>
        <w:tc>
          <w:tcPr>
            <w:tcW w:type="dxa" w:w="2160"/>
          </w:tcPr>
          <w:p>
            <w:r>
              <w:t>593</w:t>
            </w:r>
          </w:p>
        </w:tc>
        <w:tc>
          <w:tcPr>
            <w:tcW w:type="dxa" w:w="2160"/>
          </w:tcPr>
          <w:p>
            <w:r>
              <w:t>369</w:t>
            </w:r>
          </w:p>
        </w:tc>
        <w:tc>
          <w:tcPr>
            <w:tcW w:type="dxa" w:w="2160"/>
          </w:tcPr>
          <w:p>
            <w:r>
              <w:t>6,383</w:t>
            </w:r>
          </w:p>
        </w:tc>
      </w:tr>
      <w:tr>
        <w:tc>
          <w:tcPr>
            <w:tcW w:type="dxa" w:w="2160"/>
          </w:tcPr>
          <w:p>
            <w:r>
              <w:t>Wisconsin</w:t>
            </w:r>
          </w:p>
        </w:tc>
        <w:tc>
          <w:tcPr>
            <w:tcW w:type="dxa" w:w="2160"/>
          </w:tcPr>
          <w:p>
            <w:r>
              <w:t>147</w:t>
            </w:r>
          </w:p>
        </w:tc>
        <w:tc>
          <w:tcPr>
            <w:tcW w:type="dxa" w:w="2160"/>
          </w:tcPr>
          <w:p>
            <w:r>
              <w:t>165</w:t>
            </w:r>
          </w:p>
        </w:tc>
        <w:tc>
          <w:tcPr>
            <w:tcW w:type="dxa" w:w="2160"/>
          </w:tcPr>
          <w:p>
            <w:r>
              <w:t>1,582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383</w:t>
            </w:r>
          </w:p>
        </w:tc>
        <w:tc>
          <w:tcPr>
            <w:tcW w:type="dxa" w:w="2160"/>
          </w:tcPr>
          <w:p>
            <w:r>
              <w:t>4,618</w:t>
            </w:r>
          </w:p>
        </w:tc>
      </w:tr>
    </w:tbl>
    <w:p/>
    <w:p>
      <w:r>
        <w:t>Source: FHWA, Bridge Replacement Unit Costs 2024. URL: https://www.fhwa.dot.gov/bridge/nbi/sd2024.cfm. Methodology: https://www.fhwa.dot.gov/bridge/nbi/uc_explain.cfm. Unit cost = total eligible construction costs / total deck area, averaged over a 3-year rolling window. Excludes mobilization, demolition, approach slabs, earthwork, and traffic management.</w:t>
      </w:r>
    </w:p>
    <w:p>
      <w:pPr>
        <w:pStyle w:val="Heading3"/>
      </w:pPr>
      <w:r>
        <w:t>9.6.12 Loss Calculation Formulas</w:t>
      </w:r>
    </w:p>
    <w:p>
      <w:r>
        <w:t>The complete loss calculation pipeline consists of four stages:</w:t>
      </w:r>
    </w:p>
    <w:p>
      <w:r>
        <w:t>Stage 1 - Deck Area:</w:t>
      </w:r>
    </w:p>
    <w:p>
      <w:r>
        <w:t xml:space="preserve">  deck_area = structure_length (NBI 049) x deck_width (NBI 052)  [m2]</w:t>
      </w:r>
    </w:p>
    <w:p/>
    <w:p>
      <w:r>
        <w:t>Stage 2 - Replacement Cost Value (RCV):</w:t>
      </w:r>
    </w:p>
    <w:p>
      <w:pPr>
        <w:jc w:val="center"/>
      </w:pPr>
      <w:r>
        <w:rPr>
          <w:rFonts w:ascii="Cambria Math" w:hAnsi="Cambria Math"/>
          <w:i/>
          <w:sz w:val="22"/>
        </w:rPr>
        <w:t>RCV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A</w:t>
      </w:r>
      <w:r>
        <w:rPr>
          <w:rFonts w:ascii="Cambria Math" w:hAnsi="Cambria Math"/>
          <w:i w:val="0"/>
          <w:sz w:val="22"/>
          <w:vertAlign w:val="subscript"/>
        </w:rPr>
        <w:t>deck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C</w:t>
      </w:r>
      <w:r>
        <w:rPr>
          <w:rFonts w:ascii="Cambria Math" w:hAnsi="Cambria Math"/>
          <w:i w:val="0"/>
          <w:sz w:val="22"/>
          <w:vertAlign w:val="subscript"/>
        </w:rPr>
        <w:t>base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material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span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skew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seismic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f</w:t>
      </w:r>
      <w:r>
        <w:rPr>
          <w:rFonts w:ascii="Cambria Math" w:hAnsi="Cambria Math"/>
          <w:i w:val="0"/>
          <w:sz w:val="22"/>
          <w:vertAlign w:val="subscript"/>
        </w:rPr>
        <w:t>region</w:t>
      </w:r>
    </w:p>
    <w:p/>
    <w:p>
      <w:r>
        <w:t xml:space="preserve">  Where each factor is a piecewise constant function:</w:t>
      </w:r>
    </w:p>
    <w:p>
      <w:r>
        <w:t xml:space="preserve">    f_material = lookup(material_code, {concrete:0.90, steel:1.15, prestressed:1.00, wood:0.65, other:0.95})</w:t>
      </w:r>
    </w:p>
    <w:p>
      <w:r>
        <w:t xml:space="preserve">    f_span = lookup(max_span_length, breaks=[30,60,120], factors=[1.0,1.10,1.25,1.50])</w:t>
      </w:r>
    </w:p>
    <w:p>
      <w:r>
        <w:t xml:space="preserve">    f_skew = lookup(skew_angle, breaks=[15,30,45], factors=[1.0,1.05,1.10,1.20])</w:t>
      </w:r>
    </w:p>
    <w:p>
      <w:r>
        <w:t xml:space="preserve">    f_seismic = {pre_1975: 1.00, 1975_1990: 1.10, post_1990: 1.15}</w:t>
      </w:r>
    </w:p>
    <w:p>
      <w:r>
        <w:t xml:space="preserve">    f_region = 1.0 (default; FHWA base rate is already state-specific)</w:t>
      </w:r>
    </w:p>
    <w:p/>
    <w:p>
      <w:r>
        <w:t>Stage 3 - Damage Probabilities (from fragility module):</w:t>
      </w:r>
    </w:p>
    <w:p>
      <w:r>
        <w:t xml:space="preserve">  P(DS=j | Sa, HWB) = exceedance difference from lognormal fragility curves</w:t>
      </w:r>
    </w:p>
    <w:p>
      <w:r>
        <w:t xml:space="preserve">  With optional MLE calibration: median_calibrated = median_hazus x k, beta_calibrated = beta</w:t>
      </w:r>
    </w:p>
    <w:p/>
    <w:p>
      <w:r>
        <w:t>Stage 4 - Expected Loss:</w:t>
      </w:r>
    </w:p>
    <w:p>
      <w:pPr>
        <w:jc w:val="center"/>
      </w:pPr>
      <w:r>
        <w:rPr>
          <w:rFonts w:ascii="Cambria Math" w:hAnsi="Cambria Math"/>
          <w:i/>
          <w:sz w:val="22"/>
        </w:rPr>
        <w:t>E</w:t>
      </w:r>
      <w:r>
        <w:rPr>
          <w:rFonts w:ascii="Cambria Math" w:hAnsi="Cambria Math"/>
          <w:i w:val="0"/>
          <w:sz w:val="22"/>
        </w:rPr>
        <w:t>[</w:t>
      </w:r>
      <w:r>
        <w:rPr>
          <w:rFonts w:ascii="Cambria Math" w:hAnsi="Cambria Math"/>
          <w:i/>
          <w:sz w:val="22"/>
        </w:rPr>
        <w:t>Loss</w:t>
      </w:r>
      <w:r>
        <w:rPr>
          <w:rFonts w:ascii="Cambria Math" w:hAnsi="Cambria Math"/>
          <w:i w:val="0"/>
          <w:sz w:val="22"/>
        </w:rPr>
        <w:t>]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 w:val="0"/>
          <w:sz w:val="22"/>
        </w:rPr>
        <w:t>Σ</w:t>
      </w:r>
      <w:r>
        <w:rPr>
          <w:rFonts w:ascii="Cambria Math" w:hAnsi="Cambria Math"/>
          <w:i w:val="0"/>
          <w:sz w:val="22"/>
          <w:vertAlign w:val="subscript"/>
        </w:rPr>
        <w:t>ds</w:t>
      </w:r>
      <w:r>
        <w:rPr>
          <w:rFonts w:ascii="Cambria Math" w:hAnsi="Cambria Math"/>
          <w:i w:val="0"/>
          <w:sz w:val="22"/>
        </w:rPr>
        <w:t xml:space="preserve"> </w:t>
      </w:r>
      <w:r>
        <w:rPr>
          <w:rFonts w:ascii="Cambria Math" w:hAnsi="Cambria Math"/>
          <w:i/>
          <w:sz w:val="22"/>
        </w:rPr>
        <w:t>P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 xml:space="preserve"> = 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DR</w:t>
      </w:r>
      <w:r>
        <w:rPr>
          <w:rFonts w:ascii="Cambria Math" w:hAnsi="Cambria Math"/>
          <w:i w:val="0"/>
          <w:sz w:val="22"/>
        </w:rPr>
        <w:t>(</w:t>
      </w:r>
      <w:r>
        <w:rPr>
          <w:rFonts w:ascii="Cambria Math" w:hAnsi="Cambria Math"/>
          <w:i/>
          <w:sz w:val="22"/>
        </w:rPr>
        <w:t>ds</w:t>
      </w:r>
      <w:r>
        <w:rPr>
          <w:rFonts w:ascii="Cambria Math" w:hAnsi="Cambria Math"/>
          <w:i w:val="0"/>
          <w:sz w:val="22"/>
        </w:rPr>
        <w:t>)</w:t>
      </w:r>
      <w:r>
        <w:rPr>
          <w:rFonts w:ascii="Cambria Math" w:hAnsi="Cambria Math"/>
          <w:i w:val="0"/>
          <w:sz w:val="22"/>
        </w:rPr>
        <w:t xml:space="preserve"> × </w:t>
      </w:r>
      <w:r>
        <w:rPr>
          <w:rFonts w:ascii="Cambria Math" w:hAnsi="Cambria Math"/>
          <w:i/>
          <w:sz w:val="22"/>
        </w:rPr>
        <w:t>RCV</w:t>
      </w:r>
    </w:p>
    <w:p>
      <w:r>
        <w:t xml:space="preserve">  Where DR(j) = {none:0.00, slight:0.03, moderate:0.08, extensive:0.25, complete:1.00}</w:t>
      </w:r>
    </w:p>
    <w:p>
      <w:r>
        <w:t xml:space="preserve">  Portfolio loss = SUM_i E[Loss_i] for all bridges i</w:t>
      </w:r>
    </w:p>
    <w:p/>
    <w:p>
      <w:r>
        <w:t>Stage 5 - Expected Downtime:</w:t>
      </w:r>
    </w:p>
    <w:p>
      <m:oMathPara>
        <m:oMath>
          <m:r>
            <m:rPr>
              <m:sty m:val="i"/>
            </m:rPr>
            <m:t xml:space="preserve">E</m:t>
          </m:r>
          <m:r>
            <m:t xml:space="preserve">[</m:t>
          </m:r>
          <m:r>
            <m:rPr>
              <m:sty m:val="i"/>
            </m:rPr>
            <m:t xml:space="preserve">Downtime</m:t>
          </m:r>
          <m:r>
            <m:t xml:space="preserve">] = </m:t>
          </m:r>
          <m:r>
            <m:t xml:space="preserve">Σ </m:t>
          </m:r>
          <m:r>
            <m:rPr>
              <m:sty m:val="i"/>
            </m:rPr>
            <m:t xml:space="preserve">P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 = </m:t>
          </m:r>
          <m:r>
            <m:rPr>
              <m:sty m:val="i"/>
            </m:rPr>
            <m:t xml:space="preserve">ds</m:t>
          </m:r>
          <m:r>
            <m:t xml:space="preserve">) × </m:t>
          </m:r>
          <m:r>
            <m:rPr>
              <m:sty m:val="i"/>
            </m:rPr>
            <m:t xml:space="preserve">DT</m:t>
          </m:r>
          <m:r>
            <m:t xml:space="preserve">(</m:t>
          </m:r>
          <m:r>
            <m:rPr>
              <m:sty m:val="i"/>
            </m:rPr>
            <m:t xml:space="preserve">ds</m:t>
          </m:r>
          <m:r>
            <m:t xml:space="preserve">)</m:t>
          </m:r>
        </m:oMath>
      </m:oMathPara>
    </w:p>
    <w:p>
      <w:r>
        <w:t xml:space="preserve">  Where DT(j) = {none:0, slight:0.6, moderate:2.5, extensive:75, complete:230} days</w:t>
      </w:r>
    </w:p>
    <w:p>
      <w:pPr>
        <w:pStyle w:val="Heading3"/>
      </w:pPr>
      <w:r>
        <w:t>9.6.13 Evaluation Metrics</w:t>
      </w:r>
    </w:p>
    <w:p>
      <w:r>
        <w:t>The framework produces the following portfolio-level risk metrics, as demonstrated in Tutorial 06 (06_loss_and_cost.ipynb):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>
              <w:t>Total RCV</w:t>
            </w:r>
          </w:p>
        </w:tc>
        <w:tc>
          <w:tcPr>
            <w:tcW w:type="dxa" w:w="2160"/>
          </w:tcPr>
          <w:p>
            <w:r>
              <w:t>SUM RCV_i</w:t>
            </w:r>
          </w:p>
        </w:tc>
        <w:tc>
          <w:tcPr>
            <w:tcW w:type="dxa" w:w="2160"/>
          </w:tcPr>
          <w:p>
            <w:r>
              <w:t>Total replacement cost of all bridges in portfolio</w:t>
            </w:r>
          </w:p>
        </w:tc>
        <w:tc>
          <w:tcPr>
            <w:tcW w:type="dxa" w:w="2160"/>
          </w:tcPr>
          <w:p>
            <w:r>
              <w:t>Insurance exposure</w:t>
            </w:r>
          </w:p>
        </w:tc>
      </w:tr>
      <w:tr>
        <w:tc>
          <w:tcPr>
            <w:tcW w:type="dxa" w:w="2160"/>
          </w:tcPr>
          <w:p>
            <w:r>
              <w:t>Total Expected Loss</w:t>
            </w:r>
          </w:p>
        </w:tc>
        <w:tc>
          <w:tcPr>
            <w:tcW w:type="dxa" w:w="2160"/>
          </w:tcPr>
          <w:p>
            <w:r>
              <w:t>SUM E[Loss_i]</w:t>
            </w:r>
          </w:p>
        </w:tc>
        <w:tc>
          <w:tcPr>
            <w:tcW w:type="dxa" w:w="2160"/>
          </w:tcPr>
          <w:p>
            <w:r>
              <w:t>Aggregate expected earthquake loss</w:t>
            </w:r>
          </w:p>
        </w:tc>
        <w:tc>
          <w:tcPr>
            <w:tcW w:type="dxa" w:w="2160"/>
          </w:tcPr>
          <w:p>
            <w:r>
              <w:t>Insurance pricing</w:t>
            </w:r>
          </w:p>
        </w:tc>
      </w:tr>
      <w:tr>
        <w:tc>
          <w:tcPr>
            <w:tcW w:type="dxa" w:w="2160"/>
          </w:tcPr>
          <w:p>
            <w:r>
              <w:t>Portfolio Loss Ratio</w:t>
            </w:r>
          </w:p>
        </w:tc>
        <w:tc>
          <w:tcPr>
            <w:tcW w:type="dxa" w:w="2160"/>
          </w:tcPr>
          <w:p>
            <w:r>
              <w:t>Total E[Loss] / Total RCV</w:t>
            </w:r>
          </w:p>
        </w:tc>
        <w:tc>
          <w:tcPr>
            <w:tcW w:type="dxa" w:w="2160"/>
          </w:tcPr>
          <w:p>
            <w:r>
              <w:t>Fraction of portfolio value at risk</w:t>
            </w:r>
          </w:p>
        </w:tc>
        <w:tc>
          <w:tcPr>
            <w:tcW w:type="dxa" w:w="2160"/>
          </w:tcPr>
          <w:p>
            <w:r>
              <w:t>Risk comparison</w:t>
            </w:r>
          </w:p>
        </w:tc>
      </w:tr>
      <w:tr>
        <w:tc>
          <w:tcPr>
            <w:tcW w:type="dxa" w:w="2160"/>
          </w:tcPr>
          <w:p>
            <w:r>
              <w:t>Loss Exceedance Prob.</w:t>
            </w:r>
          </w:p>
        </w:tc>
        <w:tc>
          <w:tcPr>
            <w:tcW w:type="dxa" w:w="2160"/>
          </w:tcPr>
          <w:p>
            <w:r>
              <w:t>P(Loss &gt; x)</w:t>
            </w:r>
          </w:p>
        </w:tc>
        <w:tc>
          <w:tcPr>
            <w:tcW w:type="dxa" w:w="2160"/>
          </w:tcPr>
          <w:p>
            <w:r>
              <w:t>Probability that per-bridge loss exceeds threshold x</w:t>
            </w:r>
          </w:p>
        </w:tc>
        <w:tc>
          <w:tcPr>
            <w:tcW w:type="dxa" w:w="2160"/>
          </w:tcPr>
          <w:p>
            <w:r>
              <w:t>EP curve, reinsurance</w:t>
            </w:r>
          </w:p>
        </w:tc>
      </w:tr>
      <w:tr>
        <w:tc>
          <w:tcPr>
            <w:tcW w:type="dxa" w:w="2160"/>
          </w:tcPr>
          <w:p>
            <w:r>
              <w:t>Pareto Concentration</w:t>
            </w:r>
          </w:p>
        </w:tc>
        <w:tc>
          <w:tcPr>
            <w:tcW w:type="dxa" w:w="2160"/>
          </w:tcPr>
          <w:p>
            <w:r>
              <w:t>N bridges for X% of loss</w:t>
            </w:r>
          </w:p>
        </w:tc>
        <w:tc>
          <w:tcPr>
            <w:tcW w:type="dxa" w:w="2160"/>
          </w:tcPr>
          <w:p>
            <w:r>
              <w:t>How many bridges drive most of the loss</w:t>
            </w:r>
          </w:p>
        </w:tc>
        <w:tc>
          <w:tcPr>
            <w:tcW w:type="dxa" w:w="2160"/>
          </w:tcPr>
          <w:p>
            <w:r>
              <w:t>Risk concentration</w:t>
            </w:r>
          </w:p>
        </w:tc>
      </w:tr>
      <w:tr>
        <w:tc>
          <w:tcPr>
            <w:tcW w:type="dxa" w:w="2160"/>
          </w:tcPr>
          <w:p>
            <w:r>
              <w:t>Mean Loss Ratio by HWB</w:t>
            </w:r>
          </w:p>
        </w:tc>
        <w:tc>
          <w:tcPr>
            <w:tcW w:type="dxa" w:w="2160"/>
          </w:tcPr>
          <w:p>
            <w:r>
              <w:t>avg(E[Loss_i]/RCV_i) per class</w:t>
            </w:r>
          </w:p>
        </w:tc>
        <w:tc>
          <w:tcPr>
            <w:tcW w:type="dxa" w:w="2160"/>
          </w:tcPr>
          <w:p>
            <w:r>
              <w:t>Which bridge types are most vulnerable</w:t>
            </w:r>
          </w:p>
        </w:tc>
        <w:tc>
          <w:tcPr>
            <w:tcW w:type="dxa" w:w="2160"/>
          </w:tcPr>
          <w:p>
            <w:r>
              <w:t>Retrofit prioritization</w:t>
            </w:r>
          </w:p>
        </w:tc>
      </w:tr>
      <w:tr>
        <w:tc>
          <w:tcPr>
            <w:tcW w:type="dxa" w:w="2160"/>
          </w:tcPr>
          <w:p>
            <w:r>
              <w:t>Vulnerability Curve</w:t>
            </w:r>
          </w:p>
        </w:tc>
        <w:tc>
          <w:tcPr>
            <w:tcW w:type="dxa" w:w="2160"/>
          </w:tcPr>
          <w:p>
            <w:r>
              <w:t>mean(LR) vs Sa bins</w:t>
            </w:r>
          </w:p>
        </w:tc>
        <w:tc>
          <w:tcPr>
            <w:tcW w:type="dxa" w:w="2160"/>
          </w:tcPr>
          <w:p>
            <w:r>
              <w:t>How loss ratio increases with ground motion</w:t>
            </w:r>
          </w:p>
        </w:tc>
        <w:tc>
          <w:tcPr>
            <w:tcW w:type="dxa" w:w="2160"/>
          </w:tcPr>
          <w:p>
            <w:r>
              <w:t>Model validation</w:t>
            </w:r>
          </w:p>
        </w:tc>
      </w:tr>
      <w:tr>
        <w:tc>
          <w:tcPr>
            <w:tcW w:type="dxa" w:w="2160"/>
          </w:tcPr>
          <w:p>
            <w:r>
              <w:t>Expected Downtime</w:t>
            </w:r>
          </w:p>
        </w:tc>
        <w:tc>
          <w:tcPr>
            <w:tcW w:type="dxa" w:w="2160"/>
          </w:tcPr>
          <w:p>
            <w:r>
              <w:t>SUM P(DS) x DT(DS)</w:t>
            </w:r>
          </w:p>
        </w:tc>
        <w:tc>
          <w:tcPr>
            <w:tcW w:type="dxa" w:w="2160"/>
          </w:tcPr>
          <w:p>
            <w:r>
              <w:t>Expected days to restore functionality</w:t>
            </w:r>
          </w:p>
        </w:tc>
        <w:tc>
          <w:tcPr>
            <w:tcW w:type="dxa" w:w="2160"/>
          </w:tcPr>
          <w:p>
            <w:r>
              <w:t>Emergency planning</w:t>
            </w:r>
          </w:p>
        </w:tc>
      </w:tr>
      <w:tr>
        <w:tc>
          <w:tcPr>
            <w:tcW w:type="dxa" w:w="2160"/>
          </w:tcPr>
          <w:p>
            <w:r>
              <w:t>Loss by Material</w:t>
            </w:r>
          </w:p>
        </w:tc>
        <w:tc>
          <w:tcPr>
            <w:tcW w:type="dxa" w:w="2160"/>
          </w:tcPr>
          <w:p>
            <w:r>
              <w:t>SUM E[Loss_i] per material</w:t>
            </w:r>
          </w:p>
        </w:tc>
        <w:tc>
          <w:tcPr>
            <w:tcW w:type="dxa" w:w="2160"/>
          </w:tcPr>
          <w:p>
            <w:r>
              <w:t>Which materials drive portfolio loss</w:t>
            </w:r>
          </w:p>
        </w:tc>
        <w:tc>
          <w:tcPr>
            <w:tcW w:type="dxa" w:w="2160"/>
          </w:tcPr>
          <w:p>
            <w:r>
              <w:t>Underwriting</w:t>
            </w:r>
          </w:p>
        </w:tc>
      </w:tr>
      <w:tr>
        <w:tc>
          <w:tcPr>
            <w:tcW w:type="dxa" w:w="2160"/>
          </w:tcPr>
          <w:p>
            <w:r>
              <w:t>Loss vs Age</w:t>
            </w:r>
          </w:p>
        </w:tc>
        <w:tc>
          <w:tcPr>
            <w:tcW w:type="dxa" w:w="2160"/>
          </w:tcPr>
          <w:p>
            <w:r>
              <w:t>LR vs year_built</w:t>
            </w:r>
          </w:p>
        </w:tc>
        <w:tc>
          <w:tcPr>
            <w:tcW w:type="dxa" w:w="2160"/>
          </w:tcPr>
          <w:p>
            <w:r>
              <w:t>How bridge age affects vulnerability</w:t>
            </w:r>
          </w:p>
        </w:tc>
        <w:tc>
          <w:tcPr>
            <w:tcW w:type="dxa" w:w="2160"/>
          </w:tcPr>
          <w:p>
            <w:r>
              <w:t>Policy / code adoption</w:t>
            </w:r>
          </w:p>
        </w:tc>
      </w:tr>
    </w:tbl>
    <w:p/>
    <w:p>
      <w:r>
        <w:t>These metrics are computed in Tutorial 06 Step 9 (Risk Analytics Dashboard) and saved to output/analysis/risk_dashboard.png.</w:t>
      </w:r>
    </w:p>
    <w:p>
      <w:pPr>
        <w:pStyle w:val="Heading3"/>
      </w:pPr>
      <w:r>
        <w:t>9.6.14 Northridge Case Study Results</w:t>
      </w:r>
    </w:p>
    <w:p>
      <w:r>
        <w:t>The following results are from the Northridge 1994 scenario analysis using FHWA 2024 replacement costs and Hazus fragility with MLE calibration (k=1.84, beta=0.26):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Study area</w:t>
            </w:r>
          </w:p>
        </w:tc>
        <w:tc>
          <w:tcPr>
            <w:tcW w:type="dxa" w:w="4320"/>
          </w:tcPr>
          <w:p>
            <w:r>
              <w:t>33.8-34.6 N, 118.0-118.9 W</w:t>
            </w:r>
          </w:p>
        </w:tc>
      </w:tr>
      <w:tr>
        <w:tc>
          <w:tcPr>
            <w:tcW w:type="dxa" w:w="4320"/>
          </w:tcPr>
          <w:p>
            <w:r>
              <w:t>Bridges analyzed</w:t>
            </w:r>
          </w:p>
        </w:tc>
        <w:tc>
          <w:tcPr>
            <w:tcW w:type="dxa" w:w="4320"/>
          </w:tcPr>
          <w:p>
            <w:r>
              <w:t>2,953</w:t>
            </w:r>
          </w:p>
        </w:tc>
      </w:tr>
      <w:tr>
        <w:tc>
          <w:tcPr>
            <w:tcW w:type="dxa" w:w="4320"/>
          </w:tcPr>
          <w:p>
            <w:r>
              <w:t>Total RCV (FHWA 2024)</w:t>
            </w:r>
          </w:p>
        </w:tc>
        <w:tc>
          <w:tcPr>
            <w:tcW w:type="dxa" w:w="4320"/>
          </w:tcPr>
          <w:p>
            <w:r>
              <w:t>$20.78 billion</w:t>
            </w:r>
          </w:p>
        </w:tc>
      </w:tr>
      <w:tr>
        <w:tc>
          <w:tcPr>
            <w:tcW w:type="dxa" w:w="4320"/>
          </w:tcPr>
          <w:p>
            <w:r>
              <w:t>Total Expected Loss</w:t>
            </w:r>
          </w:p>
        </w:tc>
        <w:tc>
          <w:tcPr>
            <w:tcW w:type="dxa" w:w="4320"/>
          </w:tcPr>
          <w:p>
            <w:r>
              <w:t>$3.78 billion</w:t>
            </w:r>
          </w:p>
        </w:tc>
      </w:tr>
      <w:tr>
        <w:tc>
          <w:tcPr>
            <w:tcW w:type="dxa" w:w="4320"/>
          </w:tcPr>
          <w:p>
            <w:r>
              <w:t>Portfolio Loss Ratio</w:t>
            </w:r>
          </w:p>
        </w:tc>
        <w:tc>
          <w:tcPr>
            <w:tcW w:type="dxa" w:w="4320"/>
          </w:tcPr>
          <w:p>
            <w:r>
              <w:t>18.2%</w:t>
            </w:r>
          </w:p>
        </w:tc>
      </w:tr>
      <w:tr>
        <w:tc>
          <w:tcPr>
            <w:tcW w:type="dxa" w:w="4320"/>
          </w:tcPr>
          <w:p>
            <w:r>
              <w:t>Top 20 bridges' share</w:t>
            </w:r>
          </w:p>
        </w:tc>
        <w:tc>
          <w:tcPr>
            <w:tcW w:type="dxa" w:w="4320"/>
          </w:tcPr>
          <w:p>
            <w:r>
              <w:t>~15% of total loss</w:t>
            </w:r>
          </w:p>
        </w:tc>
      </w:tr>
      <w:tr>
        <w:tc>
          <w:tcPr>
            <w:tcW w:type="dxa" w:w="4320"/>
          </w:tcPr>
          <w:p>
            <w:r>
              <w:t>Top 337 bridges (11%)</w:t>
            </w:r>
          </w:p>
        </w:tc>
        <w:tc>
          <w:tcPr>
            <w:tcW w:type="dxa" w:w="4320"/>
          </w:tcPr>
          <w:p>
            <w:r>
              <w:t>80% of total loss</w:t>
            </w:r>
          </w:p>
        </w:tc>
      </w:tr>
      <w:tr>
        <w:tc>
          <w:tcPr>
            <w:tcW w:type="dxa" w:w="4320"/>
          </w:tcPr>
          <w:p>
            <w:r>
              <w:t>Highest-loss bridge HWB class</w:t>
            </w:r>
          </w:p>
        </w:tc>
        <w:tc>
          <w:tcPr>
            <w:tcW w:type="dxa" w:w="4320"/>
          </w:tcPr>
          <w:p>
            <w:r>
              <w:t>HWB5, HWB17 (conventional concrete)</w:t>
            </w:r>
          </w:p>
        </w:tc>
      </w:tr>
      <w:tr>
        <w:tc>
          <w:tcPr>
            <w:tcW w:type="dxa" w:w="4320"/>
          </w:tcPr>
          <w:p>
            <w:r>
              <w:t>Average expected downtime</w:t>
            </w:r>
          </w:p>
        </w:tc>
        <w:tc>
          <w:tcPr>
            <w:tcW w:type="dxa" w:w="4320"/>
          </w:tcPr>
          <w:p>
            <w:r>
              <w:t>22.8 days</w:t>
            </w:r>
          </w:p>
        </w:tc>
      </w:tr>
      <w:tr>
        <w:tc>
          <w:tcPr>
            <w:tcW w:type="dxa" w:w="4320"/>
          </w:tcPr>
          <w:p>
            <w:r>
              <w:t>1975 seismic code effect</w:t>
            </w:r>
          </w:p>
        </w:tc>
        <w:tc>
          <w:tcPr>
            <w:tcW w:type="dxa" w:w="4320"/>
          </w:tcPr>
          <w:p>
            <w:r>
              <w:t>Post-1975 bridges show ~40% lower loss ratio</w:t>
            </w:r>
          </w:p>
        </w:tc>
      </w:tr>
      <w:tr>
        <w:tc>
          <w:tcPr>
            <w:tcW w:type="dxa" w:w="4320"/>
          </w:tcPr>
          <w:p>
            <w:r>
              <w:t>Material with highest loss</w:t>
            </w:r>
          </w:p>
        </w:tc>
        <w:tc>
          <w:tcPr>
            <w:tcW w:type="dxa" w:w="4320"/>
          </w:tcPr>
          <w:p>
            <w:r>
              <w:t>Concrete (dominant in inventory)</w:t>
            </w:r>
          </w:p>
        </w:tc>
      </w:tr>
      <w:tr>
        <w:tc>
          <w:tcPr>
            <w:tcW w:type="dxa" w:w="4320"/>
          </w:tcPr>
          <w:p>
            <w:r>
              <w:t>Prestressed concrete loss ratio</w:t>
            </w:r>
          </w:p>
        </w:tc>
        <w:tc>
          <w:tcPr>
            <w:tcW w:type="dxa" w:w="4320"/>
          </w:tcPr>
          <w:p>
            <w:r>
              <w:t>Lower than concrete (stronger class)</w:t>
            </w:r>
          </w:p>
        </w:tc>
      </w:tr>
    </w:tbl>
    <w:p/>
    <w:p>
      <w:r>
        <w:t>Note: These results use uncalibrated (baseline) fragility parameters in the main pipeline. With MLE calibration (k=1.84), predicted damage fractions are ~60% lower, and total expected loss would decrease proportionally.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