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CAT411 Framework Technical Manual</w:t>
      </w:r>
    </w:p>
    <w:p>
      <w:pPr>
        <w:pStyle w:val="Heading1"/>
      </w:pPr>
      <w:r>
        <w:t>1. System Architecture</w:t>
      </w:r>
    </w:p>
    <w:p>
      <w:r>
        <w:t>The following diagram represents the core architecture of the CAT411 framework.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xed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Quick Start</w:t>
      </w:r>
    </w:p>
    <w:p>
      <w:pPr/>
      <w:r>
        <w:t>python main.py --full-analysis</w:t>
      </w:r>
    </w:p>
    <w:p>
      <w:pPr>
        <w:pStyle w:val="Heading1"/>
      </w:pPr>
      <w:r>
        <w:t>3. Methodology</w:t>
      </w:r>
    </w:p>
    <w:p>
      <w:r>
        <w:t>Uses USGS ShakeMap data and Hazus 6.1 fragility parameters.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