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(14 classes)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 xml:space="preserve">Fragility parameters: 14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14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r>
        <w:t>1994 Northridge observed damage statistics for validation.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r>
        <w:t>[8] Worden, C.B., et al. (2018). Spatial and spectral interpolation of ground-motion intensity measure observations. BSSA, 108(2), 866-875.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