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rPr>
          <w:color w:val="646464"/>
          <w:sz w:val="26"/>
        </w:rPr>
        <w:t>FEMA Hazus 6.1 Methodology</w:t>
        <w:br/>
        <w:t>1994 Northridge Earthquake Case Study</w:t>
        <w:br/>
        <w:br/>
        <w:t>Hazard → Exposure → Vulnerability →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rPr>
          <w:b/>
          <w:sz w:val="22"/>
        </w:rP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rPr>
          <w:b/>
          <w:sz w:val="22"/>
        </w:rP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rPr>
          <w:b/>
          <w:sz w:val="22"/>
        </w:rP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rPr>
          <w:b/>
          <w:sz w:val="22"/>
        </w:rP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rPr>
          <w:b/>
        </w:rPr>
        <w:t xml:space="preserve">Vulnerability Module: </w:t>
      </w:r>
      <w:r>
        <w:t>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rPr>
          <w:b/>
        </w:rPr>
        <w:t xml:space="preserve">Probabilistic Risk Assessment: </w:t>
      </w:r>
      <w:r>
        <w:t>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rPr>
          <w:rFonts w:ascii="Consolas" w:hAnsi="Consolas"/>
          <w:sz w:val="18"/>
        </w:rPr>
        <w:t>CAT411_framework/</w:t>
        <w:br/>
        <w:t>├── main.py                  # CLI entry point</w:t>
        <w:br/>
        <w:t>├── requirements.txt          # Python dependencies</w:t>
        <w:br/>
        <w:t>├── README.md                 # Project documentation</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data files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rPr>
          <w:rFonts w:ascii="Consolas" w:hAnsi="Consolas"/>
          <w:sz w:val="18"/>
        </w:rPr>
        <w:t>For M ≤ Mh:  F_M = e_i*U + e2*SS + e3*NS + e4*RS + e5*(M-Mh) + e6*(M-Mh)²</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rPr>
          <w:rFonts w:ascii="Consolas" w:hAnsi="Consolas"/>
          <w:sz w:val="18"/>
        </w:rPr>
        <w:t>R = sqrt(R_JB² + h²)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rPr>
          <w:rFonts w:ascii="Consolas" w:hAnsi="Consolas"/>
          <w:sz w:val="18"/>
        </w:rPr>
        <w:t>ρ(h) = exp(-3h / b)</w:t>
      </w:r>
    </w:p>
    <w:p>
      <w:r>
        <w:t>where h is the inter-site separation distance in km and b is the correlation range parameter. For T = 1.0s, b = 40.7 km (from Table 1 of Jayaram &amp; Baker 2009).</w:t>
      </w:r>
    </w:p>
    <w:p>
      <w:r>
        <w:t>This means sites within ~14 km of each other have correlation ρ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N×N spatial correlation matrix C where C_ij = ρ(h_ij)</w:t>
      </w:r>
    </w:p>
    <w:p>
      <w:pPr>
        <w:pStyle w:val="ListBullet"/>
      </w:pPr>
      <w:r>
        <w:t>Perform Cholesky decomposition: C = L · Lᵀ (with small diagonal regularization)</w:t>
      </w:r>
    </w:p>
    <w:p>
      <w:pPr>
        <w:pStyle w:val="ListBullet"/>
      </w:pPr>
      <w:r>
        <w:t>For each realization k:</w:t>
      </w:r>
    </w:p>
    <w:p>
      <w:pPr>
        <w:pStyle w:val="ListBullet"/>
      </w:pPr>
      <w:r>
        <w:t xml:space="preserve">  a. Draw inter-event residual: η_k ~ N(0, τ)</w:t>
      </w:r>
    </w:p>
    <w:p>
      <w:pPr>
        <w:pStyle w:val="ListBullet"/>
      </w:pPr>
      <w:r>
        <w:t xml:space="preserve">  b. Draw independent standard normals: z ~ N(0, I_N)</w:t>
      </w:r>
    </w:p>
    <w:p>
      <w:pPr>
        <w:pStyle w:val="ListBullet"/>
      </w:pPr>
      <w:r>
        <w:t xml:space="preserve">  c. Compute correlated intra-event residuals: ε = L · z · σ</w:t>
      </w:r>
    </w:p>
    <w:p>
      <w:pPr>
        <w:pStyle w:val="ListBullet"/>
      </w:pPr>
      <w:r>
        <w:t xml:space="preserve">  d. Combine: ln(Sa_i) = ln(median_i) + η_k + ε_i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rPr>
          <w:rFonts w:ascii="Consolas" w:hAnsi="Consolas"/>
          <w:sz w:val="18"/>
        </w:rPr>
        <w:t>RC = unit_cost(material) × deck_area ×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rPr>
          <w:rFonts w:ascii="Consolas" w:hAnsi="Consolas"/>
          <w:sz w:val="18"/>
        </w:rPr>
        <w:t>length_factor = 1.0 + 0.15 ×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 structure_number</w:t>
      </w:r>
    </w:p>
    <w:p>
      <w:pPr>
        <w:pStyle w:val="ListBullet"/>
      </w:pPr>
      <w:r>
        <w:t>lat/lon ← NBI coordinates (converted from DDMMSS.SS if needed)</w:t>
      </w:r>
    </w:p>
    <w:p>
      <w:pPr>
        <w:pStyle w:val="ListBullet"/>
      </w:pPr>
      <w:r>
        <w:t>hwb_class ← from classify_nbi_to_hazus() based on material, spans, year built</w:t>
      </w:r>
    </w:p>
    <w:p>
      <w:pPr>
        <w:pStyle w:val="ListBullet"/>
      </w:pPr>
      <w:r>
        <w:t>deck_area ← structure_length_m × deck_width_m</w:t>
      </w:r>
    </w:p>
    <w:p>
      <w:pPr>
        <w:pStyle w:val="ListBullet"/>
      </w:pPr>
      <w:r>
        <w:t>replacement_cost ← estimate_replacement_cost(material, deck_area, length)</w:t>
      </w:r>
    </w:p>
    <w:p>
      <w:pPr>
        <w:pStyle w:val="ListBullet"/>
      </w:pPr>
      <w:r>
        <w:t>vs30 ←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rPr>
          <w:rFonts w:ascii="Consolas" w:hAnsi="Consolas"/>
          <w:sz w:val="18"/>
        </w:rPr>
        <w:t>P[DS ≥ ds | Sa] = Φ( (ln(Sa) − ln(median_ds)) / β_ds )</w:t>
      </w:r>
    </w:p>
    <w:p>
      <w:r>
        <w:t>where:</w:t>
      </w:r>
    </w:p>
    <w:p>
      <w:pPr>
        <w:pStyle w:val="ListBullet"/>
      </w:pPr>
      <w:r>
        <w:t>Φ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β_ds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rPr>
          <w:rFonts w:ascii="Consolas" w:hAnsi="Consolas"/>
          <w:sz w:val="18"/>
        </w:rPr>
        <w:t>P[none]      = 1 − P[DS ≥ slight]</w:t>
        <w:br/>
        <w:t>P[slight]    = P[DS ≥ slight]    − P[DS ≥ moderate]</w:t>
        <w:br/>
        <w:t>P[moderate]  = P[DS ≥ moderate]  − P[DS ≥ extensive]</w:t>
        <w:br/>
        <w:t>P[extensive] = P[DS ≥ extensive] − P[DS ≥ complete]</w:t>
        <w:br/>
        <w:t>P[complete]  = P[DS ≥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rPr>
          <w:rFonts w:ascii="Consolas" w:hAnsi="Consolas"/>
          <w:sz w:val="18"/>
        </w:rPr>
        <w:t>median_modified = median × sqrt(1 − (skew_angle / 90)²)</w:t>
      </w:r>
    </w:p>
    <w:p>
      <w:r>
        <w:t>A 45°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rPr>
          <w:rFonts w:ascii="Consolas" w:hAnsi="Consolas"/>
          <w:sz w:val="18"/>
        </w:rPr>
        <w:t>E[Loss_i] = Σ_ds  P(ds | Sa_i) × DR(ds) × RC_i</w:t>
      </w:r>
    </w:p>
    <w:p>
      <w:r>
        <w:t>For the full portfolio:</w:t>
      </w:r>
    </w:p>
    <w:p>
      <w:pPr>
        <w:spacing w:before="80" w:after="80"/>
        <w:ind w:left="567"/>
      </w:pPr>
      <w:r>
        <w:rPr>
          <w:rFonts w:ascii="Consolas" w:hAnsi="Consolas"/>
          <w:sz w:val="18"/>
        </w:rPr>
        <w:t>E[L_portfolio] = Σ_i  E[Loss_i]</w:t>
        <w:br/>
        <w:t>Loss_ratio = E[L_portfolio] / Σ_i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λ_i and losses L_i:</w:t>
      </w:r>
    </w:p>
    <w:p>
      <w:pPr>
        <w:pStyle w:val="ListNumber"/>
      </w:pPr>
      <w:r>
        <w:t>Sort scenarios by loss in descending order</w:t>
      </w:r>
    </w:p>
    <w:p>
      <w:pPr>
        <w:pStyle w:val="ListNumber"/>
      </w:pPr>
      <w:r>
        <w:t>Compute cumulative exceedance rate: ν(L) = Σ λ_i  for all L_i ≥ L</w:t>
      </w:r>
    </w:p>
    <w:p>
      <w:pPr>
        <w:pStyle w:val="ListNumber"/>
      </w:pPr>
      <w:r>
        <w:t>Convert to annual exceedance probability (Poisson): EP(L) = 1 − exp(−ν(L))</w:t>
      </w:r>
    </w:p>
    <w:p>
      <w:pPr>
        <w:pStyle w:val="ListNumber"/>
      </w:pPr>
      <w:r>
        <w:t>Return period: RP(L) = 1 / ν(L)</w:t>
      </w:r>
    </w:p>
    <w:p>
      <w:pPr>
        <w:pStyle w:val="Heading2"/>
      </w:pPr>
      <w:r>
        <w:t>6.4 Average Annual Loss (AAL)</w:t>
      </w:r>
    </w:p>
    <w:p>
      <w:pPr>
        <w:spacing w:before="80" w:after="80"/>
        <w:ind w:left="567"/>
      </w:pPr>
      <w:r>
        <w:rPr>
          <w:rFonts w:ascii="Consolas" w:hAnsi="Consolas"/>
          <w:sz w:val="18"/>
        </w:rPr>
        <w:t>AAL = Σ_i  λ_i ×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Σ λ_i × L_i</w:t>
      </w:r>
    </w:p>
    <w:p>
      <w:pPr>
        <w:pStyle w:val="Heading2"/>
      </w:pPr>
      <w:r>
        <w:t>7.3 Stochastic Event Set Generation</w:t>
      </w:r>
    </w:p>
    <w:p>
      <w:r>
        <w:t>The stochastic earthquake catalog is generated from the Gutenberg-Richter frequency-magnitude relation:</w:t>
      </w:r>
    </w:p>
    <w:p>
      <w:pPr>
        <w:spacing w:before="80" w:after="80"/>
        <w:ind w:left="567"/>
      </w:pPr>
      <w:r>
        <w:rPr>
          <w:rFonts w:ascii="Consolas" w:hAnsi="Consolas"/>
          <w:sz w:val="18"/>
        </w:rPr>
        <w:t>log₁₀(N)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 HWB1/2, then by material and span type, with subtypes for box girder (HWB17) and frame (HWB22). Year built ≥ 1975 → seismic design.</w:t>
      </w:r>
    </w:p>
    <w:p>
      <w:pPr>
        <w:pStyle w:val="Heading2"/>
      </w:pPr>
      <w:r>
        <w:t>8.3 data_loader.py — Data Download &amp; Parsing</w:t>
      </w:r>
    </w:p>
    <w:p>
      <w:r>
        <w:t>Provides functions for three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text: Pattern-matching column detection, coordinate conversion (DDMMSS.SS → decimal), and bounding box filtering to the Northridge area.</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rPr>
          <w:rFonts w:ascii="Consolas" w:hAnsi="Consolas"/>
          <w:sz w:val="18"/>
        </w:rP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 P(moderate) ≥ P(extensive) ≥ P(complete) at all Sa levels</w:t>
      </w:r>
    </w:p>
    <w:p>
      <w:pPr>
        <w:pStyle w:val="ListBullet"/>
      </w:pPr>
      <w:r>
        <w:t>Normalization: discrete probabilities sum to exactly 1.0 (within 10⁻⁶)</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rPr>
          <w:b/>
        </w:rPr>
        <w:t xml:space="preserve">[1]  </w:t>
      </w:r>
      <w:r>
        <w:t>Boore, D.M. &amp; Atkinson, G.M. (2008). Ground-Motion Prediction Equations for the Average Horizontal Component of PGA, PGV, and 5%-Damped PSA at Spectral Periods between 0.01s and 10.0s. Earthquake Spectra, 24(1), 99–138.</w:t>
      </w:r>
    </w:p>
    <w:p>
      <w:r>
        <w:rPr>
          <w:b/>
        </w:rPr>
        <w:t xml:space="preserve">[2]  </w:t>
      </w:r>
      <w:r>
        <w:t>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