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237E"/>
        </w:rPr>
        <w:t>Phase 1 Report: Owner/Renter Data Extraction</w:t>
        <w:br/>
        <w:t>&amp; Distribution Fitting</w:t>
      </w:r>
    </w:p>
    <w:p>
      <w:r>
        <w:t>Date: 2026-02-26 | ABM Restructuring: MG/NMG → Homeowner/Renter</w:t>
      </w:r>
    </w:p>
    <w:p/>
    <w:p>
      <w:pPr>
        <w:pStyle w:val="Heading1"/>
      </w:pPr>
      <w:r>
        <w:rPr>
          <w:color w:val="1A237E"/>
        </w:rPr>
        <w:t>1. Overview</w:t>
      </w:r>
    </w:p>
    <w:p>
      <w:r>
        <w:t>This report documents the restructuring of the ABM's primary grouping axis from MG (mitigation grant) vs NMG (non-mitigation grant) to homeowner vs renter (housing tenure). The classification rule is: Q3 = 2 → renter; all other values → owner.</w:t>
      </w:r>
    </w:p>
    <w:p>
      <w:pPr>
        <w:pStyle w:val="Heading2"/>
      </w:pPr>
      <w:r>
        <w:rPr>
          <w:color w:val="1A237E"/>
        </w:rPr>
        <w:t>1.1 Data Sources</w:t>
      </w:r>
    </w:p>
    <w:p>
      <w:r>
        <w:t>• Raw survey data: data_ori.xlsx (NMG sheet: 789 rows; MG sheet: 148 rows; total: 937)</w:t>
        <w:br/>
        <w:t>• TP decay calibration data: cal_data.xlsx (NMG_FE: 173 rows; MG_FE: 40 rows; total: 213)</w:t>
        <w:br/>
        <w:t>• Q3 encoding: 1 = homeowner, 2 = renter</w:t>
      </w:r>
    </w:p>
    <w:p>
      <w:pPr>
        <w:pStyle w:val="Heading2"/>
      </w:pPr>
      <w:r>
        <w:rPr>
          <w:color w:val="1A237E"/>
        </w:rPr>
        <w:t>1.2 Variable Formulas (verified from Excel)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Variable</w:t>
            </w:r>
          </w:p>
        </w:tc>
        <w:tc>
          <w:tcPr>
            <w:tcW w:type="dxa" w:w="2880"/>
          </w:tcPr>
          <w:p>
            <w:pPr>
              <w:jc w:val="center"/>
            </w:pPr>
            <w:r>
              <w:rPr>
                <w:b/>
                <w:sz w:val="18"/>
              </w:rPr>
              <w:t>Formula</w:t>
            </w:r>
          </w:p>
        </w:tc>
        <w:tc>
          <w:tcPr>
            <w:tcW w:type="dxa" w:w="2880"/>
          </w:tcPr>
          <w:p>
            <w:pPr>
              <w:jc w:val="center"/>
            </w:pPr>
            <w:r>
              <w:rPr>
                <w:b/>
                <w:sz w:val="18"/>
              </w:rPr>
              <w:t>Scale</w:t>
            </w:r>
          </w:p>
        </w:tc>
      </w:tr>
      <w:tr>
        <w:tc>
          <w:tcPr>
            <w:tcW w:type="dxa" w:w="2880"/>
          </w:tcPr>
          <w:p>
            <w:pPr>
              <w:jc w:val="center"/>
            </w:pPr>
            <w:r>
              <w:rPr>
                <w:sz w:val="18"/>
              </w:rPr>
              <w:t>TP_mean</w:t>
            </w:r>
          </w:p>
        </w:tc>
        <w:tc>
          <w:tcPr>
            <w:tcW w:type="dxa" w:w="2880"/>
          </w:tcPr>
          <w:p>
            <w:pPr>
              <w:jc w:val="center"/>
            </w:pPr>
            <w:r>
              <w:rPr>
                <w:sz w:val="18"/>
              </w:rPr>
              <w:t>mean(Q22_1 : Q22_11) — 11 items</w:t>
            </w:r>
          </w:p>
        </w:tc>
        <w:tc>
          <w:tcPr>
            <w:tcW w:type="dxa" w:w="2880"/>
          </w:tcPr>
          <w:p>
            <w:pPr>
              <w:jc w:val="center"/>
            </w:pPr>
            <w:r>
              <w:rPr>
                <w:sz w:val="18"/>
              </w:rPr>
              <w:t>1–5 Likert</w:t>
            </w:r>
          </w:p>
        </w:tc>
      </w:tr>
      <w:tr>
        <w:tc>
          <w:tcPr>
            <w:tcW w:type="dxa" w:w="2880"/>
          </w:tcPr>
          <w:p>
            <w:pPr>
              <w:jc w:val="center"/>
            </w:pPr>
            <w:r>
              <w:rPr>
                <w:sz w:val="18"/>
              </w:rPr>
              <w:t>CP_mean</w:t>
            </w:r>
          </w:p>
        </w:tc>
        <w:tc>
          <w:tcPr>
            <w:tcW w:type="dxa" w:w="2880"/>
          </w:tcPr>
          <w:p>
            <w:pPr>
              <w:jc w:val="center"/>
            </w:pPr>
            <w:r>
              <w:rPr>
                <w:sz w:val="18"/>
              </w:rPr>
              <w:t>mean(Q24_1, Q24_2, Q25_1, Q25_2, Q25_4, Q25_5, Q25_7, Q25_8) — 8 items</w:t>
            </w:r>
          </w:p>
        </w:tc>
        <w:tc>
          <w:tcPr>
            <w:tcW w:type="dxa" w:w="2880"/>
          </w:tcPr>
          <w:p>
            <w:pPr>
              <w:jc w:val="center"/>
            </w:pPr>
            <w:r>
              <w:rPr>
                <w:sz w:val="18"/>
              </w:rPr>
              <w:t>1–5 Likert</w:t>
            </w:r>
          </w:p>
        </w:tc>
      </w:tr>
      <w:tr>
        <w:tc>
          <w:tcPr>
            <w:tcW w:type="dxa" w:w="2880"/>
          </w:tcPr>
          <w:p>
            <w:pPr>
              <w:jc w:val="center"/>
            </w:pPr>
            <w:r>
              <w:rPr>
                <w:sz w:val="18"/>
              </w:rPr>
              <w:t>SP_mean</w:t>
            </w:r>
          </w:p>
        </w:tc>
        <w:tc>
          <w:tcPr>
            <w:tcW w:type="dxa" w:w="2880"/>
          </w:tcPr>
          <w:p>
            <w:pPr>
              <w:jc w:val="center"/>
            </w:pPr>
            <w:r>
              <w:rPr>
                <w:sz w:val="18"/>
              </w:rPr>
              <w:t>mean(Q25_3, Q25_6, Q25_9) — 3 items</w:t>
            </w:r>
          </w:p>
        </w:tc>
        <w:tc>
          <w:tcPr>
            <w:tcW w:type="dxa" w:w="2880"/>
          </w:tcPr>
          <w:p>
            <w:pPr>
              <w:jc w:val="center"/>
            </w:pPr>
            <w:r>
              <w:rPr>
                <w:sz w:val="18"/>
              </w:rPr>
              <w:t>1–5 Likert</w:t>
            </w:r>
          </w:p>
        </w:tc>
      </w:tr>
      <w:tr>
        <w:tc>
          <w:tcPr>
            <w:tcW w:type="dxa" w:w="2880"/>
          </w:tcPr>
          <w:p>
            <w:pPr>
              <w:jc w:val="center"/>
            </w:pPr>
            <w:r>
              <w:rPr>
                <w:sz w:val="18"/>
              </w:rPr>
              <w:t>SC_mean</w:t>
            </w:r>
          </w:p>
        </w:tc>
        <w:tc>
          <w:tcPr>
            <w:tcW w:type="dxa" w:w="2880"/>
          </w:tcPr>
          <w:p>
            <w:pPr>
              <w:jc w:val="center"/>
            </w:pPr>
            <w:r>
              <w:rPr>
                <w:sz w:val="18"/>
              </w:rPr>
              <w:t>mean(Q21_1 : Q21_6) — 6 items</w:t>
            </w:r>
          </w:p>
        </w:tc>
        <w:tc>
          <w:tcPr>
            <w:tcW w:type="dxa" w:w="2880"/>
          </w:tcPr>
          <w:p>
            <w:pPr>
              <w:jc w:val="center"/>
            </w:pPr>
            <w:r>
              <w:rPr>
                <w:sz w:val="18"/>
              </w:rPr>
              <w:t>1–5 Likert</w:t>
            </w:r>
          </w:p>
        </w:tc>
      </w:tr>
      <w:tr>
        <w:tc>
          <w:tcPr>
            <w:tcW w:type="dxa" w:w="2880"/>
          </w:tcPr>
          <w:p>
            <w:pPr>
              <w:jc w:val="center"/>
            </w:pPr>
            <w:r>
              <w:rPr>
                <w:sz w:val="18"/>
              </w:rPr>
              <w:t>PA_mean</w:t>
            </w:r>
          </w:p>
        </w:tc>
        <w:tc>
          <w:tcPr>
            <w:tcW w:type="dxa" w:w="2880"/>
          </w:tcPr>
          <w:p>
            <w:pPr>
              <w:jc w:val="center"/>
            </w:pPr>
            <w:r>
              <w:rPr>
                <w:sz w:val="18"/>
              </w:rPr>
              <w:t>mean(Q21_7 : Q21_15) — 9 items</w:t>
            </w:r>
          </w:p>
        </w:tc>
        <w:tc>
          <w:tcPr>
            <w:tcW w:type="dxa" w:w="2880"/>
          </w:tcPr>
          <w:p>
            <w:pPr>
              <w:jc w:val="center"/>
            </w:pPr>
            <w:r>
              <w:rPr>
                <w:sz w:val="18"/>
              </w:rPr>
              <w:t>1–5 Likert</w:t>
            </w:r>
          </w:p>
        </w:tc>
      </w:tr>
      <w:tr>
        <w:tc>
          <w:tcPr>
            <w:tcW w:type="dxa" w:w="2880"/>
          </w:tcPr>
          <w:p>
            <w:pPr>
              <w:jc w:val="center"/>
            </w:pPr>
            <w:r>
              <w:rPr>
                <w:sz w:val="18"/>
              </w:rPr>
              <w:t>FI</w:t>
            </w:r>
          </w:p>
        </w:tc>
        <w:tc>
          <w:tcPr>
            <w:tcW w:type="dxa" w:w="2880"/>
          </w:tcPr>
          <w:p>
            <w:pPr>
              <w:jc w:val="center"/>
            </w:pPr>
            <w:r>
              <w:rPr>
                <w:sz w:val="18"/>
              </w:rPr>
              <w:t>Q27</w:t>
            </w:r>
          </w:p>
        </w:tc>
        <w:tc>
          <w:tcPr>
            <w:tcW w:type="dxa" w:w="2880"/>
          </w:tcPr>
          <w:p>
            <w:pPr>
              <w:jc w:val="center"/>
            </w:pPr>
            <w:r>
              <w:rPr>
                <w:sz w:val="18"/>
              </w:rPr>
              <w:t>1–5 Likert</w:t>
            </w:r>
          </w:p>
        </w:tc>
      </w:tr>
      <w:tr>
        <w:tc>
          <w:tcPr>
            <w:tcW w:type="dxa" w:w="2880"/>
          </w:tcPr>
          <w:p>
            <w:pPr>
              <w:jc w:val="center"/>
            </w:pPr>
            <w:r>
              <w:rPr>
                <w:sz w:val="18"/>
              </w:rPr>
              <w:t>EH</w:t>
            </w:r>
          </w:p>
        </w:tc>
        <w:tc>
          <w:tcPr>
            <w:tcW w:type="dxa" w:w="2880"/>
          </w:tcPr>
          <w:p>
            <w:pPr>
              <w:jc w:val="center"/>
            </w:pPr>
            <w:r>
              <w:rPr>
                <w:sz w:val="18"/>
              </w:rPr>
              <w:t>Q29</w:t>
            </w:r>
          </w:p>
        </w:tc>
        <w:tc>
          <w:tcPr>
            <w:tcW w:type="dxa" w:w="2880"/>
          </w:tcPr>
          <w:p>
            <w:pPr>
              <w:jc w:val="center"/>
            </w:pPr>
            <w:r>
              <w:rPr>
                <w:sz w:val="18"/>
              </w:rPr>
              <w:t>1–5 Likert</w:t>
            </w:r>
          </w:p>
        </w:tc>
      </w:tr>
      <w:tr>
        <w:tc>
          <w:tcPr>
            <w:tcW w:type="dxa" w:w="2880"/>
          </w:tcPr>
          <w:p>
            <w:pPr>
              <w:jc w:val="center"/>
            </w:pPr>
            <w:r>
              <w:rPr>
                <w:sz w:val="18"/>
              </w:rPr>
              <w:t>BP</w:t>
            </w:r>
          </w:p>
        </w:tc>
        <w:tc>
          <w:tcPr>
            <w:tcW w:type="dxa" w:w="2880"/>
          </w:tcPr>
          <w:p>
            <w:pPr>
              <w:jc w:val="center"/>
            </w:pPr>
            <w:r>
              <w:rPr>
                <w:sz w:val="18"/>
              </w:rPr>
              <w:t>Q31</w:t>
            </w:r>
          </w:p>
        </w:tc>
        <w:tc>
          <w:tcPr>
            <w:tcW w:type="dxa" w:w="2880"/>
          </w:tcPr>
          <w:p>
            <w:pPr>
              <w:jc w:val="center"/>
            </w:pPr>
            <w:r>
              <w:rPr>
                <w:sz w:val="18"/>
              </w:rPr>
              <w:t>1–5 Likert</w:t>
            </w:r>
          </w:p>
        </w:tc>
      </w:tr>
      <w:tr>
        <w:tc>
          <w:tcPr>
            <w:tcW w:type="dxa" w:w="2880"/>
          </w:tcPr>
          <w:p>
            <w:pPr>
              <w:jc w:val="center"/>
            </w:pPr>
            <w:r>
              <w:rPr>
                <w:sz w:val="18"/>
              </w:rPr>
              <w:t>RL</w:t>
            </w:r>
          </w:p>
        </w:tc>
        <w:tc>
          <w:tcPr>
            <w:tcW w:type="dxa" w:w="2880"/>
          </w:tcPr>
          <w:p>
            <w:pPr>
              <w:jc w:val="center"/>
            </w:pPr>
            <w:r>
              <w:rPr>
                <w:sz w:val="18"/>
              </w:rPr>
              <w:t>Q33</w:t>
            </w:r>
          </w:p>
        </w:tc>
        <w:tc>
          <w:tcPr>
            <w:tcW w:type="dxa" w:w="2880"/>
          </w:tcPr>
          <w:p>
            <w:pPr>
              <w:jc w:val="center"/>
            </w:pPr>
            <w:r>
              <w:rPr>
                <w:sz w:val="18"/>
              </w:rPr>
              <w:t>1–5 Likert</w:t>
            </w:r>
          </w:p>
        </w:tc>
      </w:tr>
    </w:tbl>
    <w:p/>
    <w:p>
      <w:pPr>
        <w:pStyle w:val="Heading2"/>
      </w:pPr>
      <w:r>
        <w:rPr>
          <w:color w:val="1A237E"/>
        </w:rPr>
        <w:t>1.3 Important Bug Discovery</w:t>
      </w:r>
    </w:p>
    <w:p>
      <w:r>
        <w:rPr>
          <w:b/>
          <w:color w:val="CC0000"/>
        </w:rPr>
        <w:t xml:space="preserve">MG_variable sheet has broken Excel formulas: </w:t>
      </w:r>
      <w:r>
        <w:t>The TP_mean, CP_mean, and SP_mean columns in MG_variable reference NMG sheet cells (e.g., =AVERAGE(NMG!BH2:BR2)) instead of MG sheet cells. This means all 148 MG respondents' psychological variable data was actually NMG data at the same row index. MG_syn_variable (1,989 rows used by Bayesian engine) inherits this error. The new owner/renter extraction recomputes all variables from raw data, bypassing this bug.</w:t>
      </w:r>
    </w:p>
    <w:p>
      <w:pPr>
        <w:pStyle w:val="Heading1"/>
      </w:pPr>
      <w:r>
        <w:rPr>
          <w:color w:val="1A237E"/>
        </w:rPr>
        <w:t>2. Sample Sizes After Split</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Dataset</w:t>
            </w:r>
          </w:p>
        </w:tc>
        <w:tc>
          <w:tcPr>
            <w:tcW w:type="dxa" w:w="1728"/>
          </w:tcPr>
          <w:p>
            <w:pPr>
              <w:jc w:val="center"/>
            </w:pPr>
            <w:r>
              <w:rPr>
                <w:b/>
                <w:sz w:val="18"/>
              </w:rPr>
              <w:t>Group</w:t>
            </w:r>
          </w:p>
        </w:tc>
        <w:tc>
          <w:tcPr>
            <w:tcW w:type="dxa" w:w="1728"/>
          </w:tcPr>
          <w:p>
            <w:pPr>
              <w:jc w:val="center"/>
            </w:pPr>
            <w:r>
              <w:rPr>
                <w:b/>
                <w:sz w:val="18"/>
              </w:rPr>
              <w:t>n</w:t>
            </w:r>
          </w:p>
        </w:tc>
        <w:tc>
          <w:tcPr>
            <w:tcW w:type="dxa" w:w="1728"/>
          </w:tcPr>
          <w:p>
            <w:pPr>
              <w:jc w:val="center"/>
            </w:pPr>
            <w:r>
              <w:rPr>
                <w:b/>
                <w:sz w:val="18"/>
              </w:rPr>
              <w:t>Source MG</w:t>
            </w:r>
          </w:p>
        </w:tc>
        <w:tc>
          <w:tcPr>
            <w:tcW w:type="dxa" w:w="1728"/>
          </w:tcPr>
          <w:p>
            <w:pPr>
              <w:jc w:val="center"/>
            </w:pPr>
            <w:r>
              <w:rPr>
                <w:b/>
                <w:sz w:val="18"/>
              </w:rPr>
              <w:t>Source NMG</w:t>
            </w:r>
          </w:p>
        </w:tc>
      </w:tr>
      <w:tr>
        <w:tc>
          <w:tcPr>
            <w:tcW w:type="dxa" w:w="1728"/>
          </w:tcPr>
          <w:p>
            <w:pPr>
              <w:jc w:val="center"/>
            </w:pPr>
            <w:r>
              <w:rPr>
                <w:sz w:val="18"/>
              </w:rPr>
              <w:t>Full Survey</w:t>
            </w:r>
          </w:p>
        </w:tc>
        <w:tc>
          <w:tcPr>
            <w:tcW w:type="dxa" w:w="1728"/>
          </w:tcPr>
          <w:p>
            <w:pPr>
              <w:jc w:val="center"/>
            </w:pPr>
            <w:r>
              <w:rPr>
                <w:sz w:val="18"/>
              </w:rPr>
              <w:t>Owner</w:t>
            </w:r>
          </w:p>
        </w:tc>
        <w:tc>
          <w:tcPr>
            <w:tcW w:type="dxa" w:w="1728"/>
          </w:tcPr>
          <w:p>
            <w:pPr>
              <w:jc w:val="center"/>
            </w:pPr>
            <w:r>
              <w:rPr>
                <w:sz w:val="18"/>
              </w:rPr>
              <w:t>694</w:t>
            </w:r>
          </w:p>
        </w:tc>
        <w:tc>
          <w:tcPr>
            <w:tcW w:type="dxa" w:w="1728"/>
          </w:tcPr>
          <w:p>
            <w:pPr>
              <w:jc w:val="center"/>
            </w:pPr>
            <w:r>
              <w:rPr>
                <w:sz w:val="18"/>
              </w:rPr>
              <w:t>77</w:t>
            </w:r>
          </w:p>
        </w:tc>
        <w:tc>
          <w:tcPr>
            <w:tcW w:type="dxa" w:w="1728"/>
          </w:tcPr>
          <w:p>
            <w:pPr>
              <w:jc w:val="center"/>
            </w:pPr>
            <w:r>
              <w:rPr>
                <w:sz w:val="18"/>
              </w:rPr>
              <w:t>617</w:t>
            </w:r>
          </w:p>
        </w:tc>
      </w:tr>
      <w:tr>
        <w:tc>
          <w:tcPr>
            <w:tcW w:type="dxa" w:w="1728"/>
          </w:tcPr>
          <w:p>
            <w:pPr>
              <w:jc w:val="center"/>
            </w:pPr>
            <w:r>
              <w:rPr>
                <w:sz w:val="18"/>
              </w:rPr>
              <w:t>Full Survey</w:t>
            </w:r>
          </w:p>
        </w:tc>
        <w:tc>
          <w:tcPr>
            <w:tcW w:type="dxa" w:w="1728"/>
          </w:tcPr>
          <w:p>
            <w:pPr>
              <w:jc w:val="center"/>
            </w:pPr>
            <w:r>
              <w:rPr>
                <w:sz w:val="18"/>
              </w:rPr>
              <w:t>Renter</w:t>
            </w:r>
          </w:p>
        </w:tc>
        <w:tc>
          <w:tcPr>
            <w:tcW w:type="dxa" w:w="1728"/>
          </w:tcPr>
          <w:p>
            <w:pPr>
              <w:jc w:val="center"/>
            </w:pPr>
            <w:r>
              <w:rPr>
                <w:sz w:val="18"/>
              </w:rPr>
              <w:t>243</w:t>
            </w:r>
          </w:p>
        </w:tc>
        <w:tc>
          <w:tcPr>
            <w:tcW w:type="dxa" w:w="1728"/>
          </w:tcPr>
          <w:p>
            <w:pPr>
              <w:jc w:val="center"/>
            </w:pPr>
            <w:r>
              <w:rPr>
                <w:sz w:val="18"/>
              </w:rPr>
              <w:t>71</w:t>
            </w:r>
          </w:p>
        </w:tc>
        <w:tc>
          <w:tcPr>
            <w:tcW w:type="dxa" w:w="1728"/>
          </w:tcPr>
          <w:p>
            <w:pPr>
              <w:jc w:val="center"/>
            </w:pPr>
            <w:r>
              <w:rPr>
                <w:sz w:val="18"/>
              </w:rPr>
              <w:t>172</w:t>
            </w:r>
          </w:p>
        </w:tc>
      </w:tr>
      <w:tr>
        <w:tc>
          <w:tcPr>
            <w:tcW w:type="dxa" w:w="1728"/>
          </w:tcPr>
          <w:p>
            <w:pPr>
              <w:jc w:val="center"/>
            </w:pPr>
            <w:r>
              <w:rPr>
                <w:sz w:val="18"/>
              </w:rPr>
              <w:t>TP Decay Calibration</w:t>
            </w:r>
          </w:p>
        </w:tc>
        <w:tc>
          <w:tcPr>
            <w:tcW w:type="dxa" w:w="1728"/>
          </w:tcPr>
          <w:p>
            <w:pPr>
              <w:jc w:val="center"/>
            </w:pPr>
            <w:r>
              <w:rPr>
                <w:sz w:val="18"/>
              </w:rPr>
              <w:t>Owner</w:t>
            </w:r>
          </w:p>
        </w:tc>
        <w:tc>
          <w:tcPr>
            <w:tcW w:type="dxa" w:w="1728"/>
          </w:tcPr>
          <w:p>
            <w:pPr>
              <w:jc w:val="center"/>
            </w:pPr>
            <w:r>
              <w:rPr>
                <w:sz w:val="18"/>
              </w:rPr>
              <w:t>170</w:t>
            </w:r>
          </w:p>
        </w:tc>
        <w:tc>
          <w:tcPr>
            <w:tcW w:type="dxa" w:w="1728"/>
          </w:tcPr>
          <w:p>
            <w:pPr>
              <w:jc w:val="center"/>
            </w:pPr>
            <w:r>
              <w:rPr>
                <w:sz w:val="18"/>
              </w:rPr>
              <w:t>28</w:t>
            </w:r>
          </w:p>
        </w:tc>
        <w:tc>
          <w:tcPr>
            <w:tcW w:type="dxa" w:w="1728"/>
          </w:tcPr>
          <w:p>
            <w:pPr>
              <w:jc w:val="center"/>
            </w:pPr>
            <w:r>
              <w:rPr>
                <w:sz w:val="18"/>
              </w:rPr>
              <w:t>142</w:t>
            </w:r>
          </w:p>
        </w:tc>
      </w:tr>
      <w:tr>
        <w:tc>
          <w:tcPr>
            <w:tcW w:type="dxa" w:w="1728"/>
          </w:tcPr>
          <w:p>
            <w:pPr>
              <w:jc w:val="center"/>
            </w:pPr>
            <w:r>
              <w:rPr>
                <w:sz w:val="18"/>
              </w:rPr>
              <w:t>TP Decay Calibration</w:t>
            </w:r>
          </w:p>
        </w:tc>
        <w:tc>
          <w:tcPr>
            <w:tcW w:type="dxa" w:w="1728"/>
          </w:tcPr>
          <w:p>
            <w:pPr>
              <w:jc w:val="center"/>
            </w:pPr>
            <w:r>
              <w:rPr>
                <w:sz w:val="18"/>
              </w:rPr>
              <w:t>Renter</w:t>
            </w:r>
          </w:p>
        </w:tc>
        <w:tc>
          <w:tcPr>
            <w:tcW w:type="dxa" w:w="1728"/>
          </w:tcPr>
          <w:p>
            <w:pPr>
              <w:jc w:val="center"/>
            </w:pPr>
            <w:r>
              <w:rPr>
                <w:sz w:val="18"/>
              </w:rPr>
              <w:t>43</w:t>
            </w:r>
          </w:p>
        </w:tc>
        <w:tc>
          <w:tcPr>
            <w:tcW w:type="dxa" w:w="1728"/>
          </w:tcPr>
          <w:p>
            <w:pPr>
              <w:jc w:val="center"/>
            </w:pPr>
            <w:r>
              <w:rPr>
                <w:sz w:val="18"/>
              </w:rPr>
              <w:t>12</w:t>
            </w:r>
          </w:p>
        </w:tc>
        <w:tc>
          <w:tcPr>
            <w:tcW w:type="dxa" w:w="1728"/>
          </w:tcPr>
          <w:p>
            <w:pPr>
              <w:jc w:val="center"/>
            </w:pPr>
            <w:r>
              <w:rPr>
                <w:sz w:val="18"/>
              </w:rPr>
              <w:t>31</w:t>
            </w:r>
          </w:p>
        </w:tc>
      </w:tr>
    </w:tbl>
    <w:p/>
    <w:p>
      <w:r>
        <w:t>Note: Renter calibration sample (n=43) is small. This may require discussion on whether synthetic augmentation or pooled estimation is needed.</w:t>
      </w:r>
    </w:p>
    <w:p>
      <w:pPr>
        <w:pStyle w:val="Heading1"/>
      </w:pPr>
      <w:r>
        <w:rPr>
          <w:color w:val="1A237E"/>
        </w:rPr>
        <w:t>3. Beta Distribution Parameters</w:t>
      </w:r>
    </w:p>
    <w:p>
      <w:r>
        <w:t>Each psychological variable was normalized to [0, 1] by dividing by 5 (Likert 1–5 → 0.2–1.0), then fitted with a Beta(α, β) distribution using MLE (scipy.stats.beta.fit with floc=0, fscale=1). The KS test checks goodness-of-fit (p &gt; 0.05 = good fit).</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18"/>
              </w:rPr>
              <w:t>Group</w:t>
            </w:r>
          </w:p>
        </w:tc>
        <w:tc>
          <w:tcPr>
            <w:tcW w:type="dxa" w:w="960"/>
          </w:tcPr>
          <w:p>
            <w:pPr>
              <w:jc w:val="center"/>
            </w:pPr>
            <w:r>
              <w:rPr>
                <w:b/>
                <w:sz w:val="18"/>
              </w:rPr>
              <w:t>Variable</w:t>
            </w:r>
          </w:p>
        </w:tc>
        <w:tc>
          <w:tcPr>
            <w:tcW w:type="dxa" w:w="960"/>
          </w:tcPr>
          <w:p>
            <w:pPr>
              <w:jc w:val="center"/>
            </w:pPr>
            <w:r>
              <w:rPr>
                <w:b/>
                <w:sz w:val="18"/>
              </w:rPr>
              <w:t>n</w:t>
            </w:r>
          </w:p>
        </w:tc>
        <w:tc>
          <w:tcPr>
            <w:tcW w:type="dxa" w:w="960"/>
          </w:tcPr>
          <w:p>
            <w:pPr>
              <w:jc w:val="center"/>
            </w:pPr>
            <w:r>
              <w:rPr>
                <w:b/>
                <w:sz w:val="18"/>
              </w:rPr>
              <w:t>alpha</w:t>
            </w:r>
          </w:p>
        </w:tc>
        <w:tc>
          <w:tcPr>
            <w:tcW w:type="dxa" w:w="960"/>
          </w:tcPr>
          <w:p>
            <w:pPr>
              <w:jc w:val="center"/>
            </w:pPr>
            <w:r>
              <w:rPr>
                <w:b/>
                <w:sz w:val="18"/>
              </w:rPr>
              <w:t>beta</w:t>
            </w:r>
          </w:p>
        </w:tc>
        <w:tc>
          <w:tcPr>
            <w:tcW w:type="dxa" w:w="960"/>
          </w:tcPr>
          <w:p>
            <w:pPr>
              <w:jc w:val="center"/>
            </w:pPr>
            <w:r>
              <w:rPr>
                <w:b/>
                <w:sz w:val="18"/>
              </w:rPr>
              <w:t>mean</w:t>
            </w:r>
          </w:p>
        </w:tc>
        <w:tc>
          <w:tcPr>
            <w:tcW w:type="dxa" w:w="960"/>
          </w:tcPr>
          <w:p>
            <w:pPr>
              <w:jc w:val="center"/>
            </w:pPr>
            <w:r>
              <w:rPr>
                <w:b/>
                <w:sz w:val="18"/>
              </w:rPr>
              <w:t>std</w:t>
            </w:r>
          </w:p>
        </w:tc>
        <w:tc>
          <w:tcPr>
            <w:tcW w:type="dxa" w:w="960"/>
          </w:tcPr>
          <w:p>
            <w:pPr>
              <w:jc w:val="center"/>
            </w:pPr>
            <w:r>
              <w:rPr>
                <w:b/>
                <w:sz w:val="18"/>
              </w:rPr>
              <w:t>KS_stat</w:t>
            </w:r>
          </w:p>
        </w:tc>
        <w:tc>
          <w:tcPr>
            <w:tcW w:type="dxa" w:w="960"/>
          </w:tcPr>
          <w:p>
            <w:pPr>
              <w:jc w:val="center"/>
            </w:pPr>
            <w:r>
              <w:rPr>
                <w:b/>
                <w:sz w:val="18"/>
              </w:rPr>
              <w:t>KS_p</w:t>
            </w:r>
          </w:p>
        </w:tc>
      </w:tr>
      <w:tr>
        <w:tc>
          <w:tcPr>
            <w:tcW w:type="dxa" w:w="960"/>
          </w:tcPr>
          <w:p>
            <w:pPr>
              <w:jc w:val="center"/>
            </w:pPr>
            <w:r>
              <w:rPr>
                <w:sz w:val="18"/>
              </w:rPr>
              <w:t>owner</w:t>
            </w:r>
          </w:p>
        </w:tc>
        <w:tc>
          <w:tcPr>
            <w:tcW w:type="dxa" w:w="960"/>
          </w:tcPr>
          <w:p>
            <w:pPr>
              <w:jc w:val="center"/>
            </w:pPr>
            <w:r>
              <w:rPr>
                <w:sz w:val="18"/>
              </w:rPr>
              <w:t>TP</w:t>
            </w:r>
          </w:p>
        </w:tc>
        <w:tc>
          <w:tcPr>
            <w:tcW w:type="dxa" w:w="960"/>
          </w:tcPr>
          <w:p>
            <w:pPr>
              <w:jc w:val="center"/>
            </w:pPr>
            <w:r>
              <w:rPr>
                <w:sz w:val="18"/>
              </w:rPr>
              <w:t>694</w:t>
            </w:r>
          </w:p>
        </w:tc>
        <w:tc>
          <w:tcPr>
            <w:tcW w:type="dxa" w:w="960"/>
          </w:tcPr>
          <w:p>
            <w:pPr>
              <w:jc w:val="center"/>
            </w:pPr>
            <w:r>
              <w:rPr>
                <w:sz w:val="18"/>
              </w:rPr>
              <w:t>6.12264</w:t>
            </w:r>
          </w:p>
        </w:tc>
        <w:tc>
          <w:tcPr>
            <w:tcW w:type="dxa" w:w="960"/>
          </w:tcPr>
          <w:p>
            <w:pPr>
              <w:jc w:val="center"/>
            </w:pPr>
            <w:r>
              <w:rPr>
                <w:sz w:val="18"/>
              </w:rPr>
              <w:t>4.480251</w:t>
            </w:r>
          </w:p>
        </w:tc>
        <w:tc>
          <w:tcPr>
            <w:tcW w:type="dxa" w:w="960"/>
          </w:tcPr>
          <w:p>
            <w:pPr>
              <w:jc w:val="center"/>
            </w:pPr>
            <w:r>
              <w:rPr>
                <w:sz w:val="18"/>
              </w:rPr>
              <w:t>0.5775</w:t>
            </w:r>
          </w:p>
        </w:tc>
        <w:tc>
          <w:tcPr>
            <w:tcW w:type="dxa" w:w="960"/>
          </w:tcPr>
          <w:p>
            <w:pPr>
              <w:jc w:val="center"/>
            </w:pPr>
            <w:r>
              <w:rPr>
                <w:sz w:val="18"/>
              </w:rPr>
              <w:t>0.145</w:t>
            </w:r>
          </w:p>
        </w:tc>
        <w:tc>
          <w:tcPr>
            <w:tcW w:type="dxa" w:w="960"/>
          </w:tcPr>
          <w:p>
            <w:pPr>
              <w:jc w:val="center"/>
            </w:pPr>
            <w:r>
              <w:rPr>
                <w:sz w:val="18"/>
              </w:rPr>
              <w:t>0.0534</w:t>
            </w:r>
          </w:p>
        </w:tc>
        <w:tc>
          <w:tcPr>
            <w:tcW w:type="dxa" w:w="960"/>
          </w:tcPr>
          <w:p>
            <w:pPr>
              <w:jc w:val="center"/>
            </w:pPr>
            <w:r>
              <w:rPr>
                <w:sz w:val="18"/>
              </w:rPr>
              <w:t>0.0366</w:t>
            </w:r>
          </w:p>
        </w:tc>
      </w:tr>
      <w:tr>
        <w:tc>
          <w:tcPr>
            <w:tcW w:type="dxa" w:w="960"/>
          </w:tcPr>
          <w:p>
            <w:pPr>
              <w:jc w:val="center"/>
            </w:pPr>
            <w:r>
              <w:rPr>
                <w:sz w:val="18"/>
              </w:rPr>
              <w:t>owner</w:t>
            </w:r>
          </w:p>
        </w:tc>
        <w:tc>
          <w:tcPr>
            <w:tcW w:type="dxa" w:w="960"/>
          </w:tcPr>
          <w:p>
            <w:pPr>
              <w:jc w:val="center"/>
            </w:pPr>
            <w:r>
              <w:rPr>
                <w:sz w:val="18"/>
              </w:rPr>
              <w:t>CP</w:t>
            </w:r>
          </w:p>
        </w:tc>
        <w:tc>
          <w:tcPr>
            <w:tcW w:type="dxa" w:w="960"/>
          </w:tcPr>
          <w:p>
            <w:pPr>
              <w:jc w:val="center"/>
            </w:pPr>
            <w:r>
              <w:rPr>
                <w:sz w:val="18"/>
              </w:rPr>
              <w:t>694</w:t>
            </w:r>
          </w:p>
        </w:tc>
        <w:tc>
          <w:tcPr>
            <w:tcW w:type="dxa" w:w="960"/>
          </w:tcPr>
          <w:p>
            <w:pPr>
              <w:jc w:val="center"/>
            </w:pPr>
            <w:r>
              <w:rPr>
                <w:sz w:val="18"/>
              </w:rPr>
              <w:t>5.430291</w:t>
            </w:r>
          </w:p>
        </w:tc>
        <w:tc>
          <w:tcPr>
            <w:tcW w:type="dxa" w:w="960"/>
          </w:tcPr>
          <w:p>
            <w:pPr>
              <w:jc w:val="center"/>
            </w:pPr>
            <w:r>
              <w:rPr>
                <w:sz w:val="18"/>
              </w:rPr>
              <w:t>3.333322</w:t>
            </w:r>
          </w:p>
        </w:tc>
        <w:tc>
          <w:tcPr>
            <w:tcW w:type="dxa" w:w="960"/>
          </w:tcPr>
          <w:p>
            <w:pPr>
              <w:jc w:val="center"/>
            </w:pPr>
            <w:r>
              <w:rPr>
                <w:sz w:val="18"/>
              </w:rPr>
              <w:t>0.6196</w:t>
            </w:r>
          </w:p>
        </w:tc>
        <w:tc>
          <w:tcPr>
            <w:tcW w:type="dxa" w:w="960"/>
          </w:tcPr>
          <w:p>
            <w:pPr>
              <w:jc w:val="center"/>
            </w:pPr>
            <w:r>
              <w:rPr>
                <w:sz w:val="18"/>
              </w:rPr>
              <w:t>0.1554</w:t>
            </w:r>
          </w:p>
        </w:tc>
        <w:tc>
          <w:tcPr>
            <w:tcW w:type="dxa" w:w="960"/>
          </w:tcPr>
          <w:p>
            <w:pPr>
              <w:jc w:val="center"/>
            </w:pPr>
            <w:r>
              <w:rPr>
                <w:sz w:val="18"/>
              </w:rPr>
              <w:t>0.1494</w:t>
            </w:r>
          </w:p>
        </w:tc>
        <w:tc>
          <w:tcPr>
            <w:tcW w:type="dxa" w:w="960"/>
          </w:tcPr>
          <w:p>
            <w:pPr>
              <w:jc w:val="center"/>
            </w:pPr>
            <w:r>
              <w:rPr>
                <w:sz w:val="18"/>
              </w:rPr>
              <w:t>0.0</w:t>
            </w:r>
          </w:p>
        </w:tc>
      </w:tr>
      <w:tr>
        <w:tc>
          <w:tcPr>
            <w:tcW w:type="dxa" w:w="960"/>
          </w:tcPr>
          <w:p>
            <w:pPr>
              <w:jc w:val="center"/>
            </w:pPr>
            <w:r>
              <w:rPr>
                <w:sz w:val="18"/>
              </w:rPr>
              <w:t>owner</w:t>
            </w:r>
          </w:p>
        </w:tc>
        <w:tc>
          <w:tcPr>
            <w:tcW w:type="dxa" w:w="960"/>
          </w:tcPr>
          <w:p>
            <w:pPr>
              <w:jc w:val="center"/>
            </w:pPr>
            <w:r>
              <w:rPr>
                <w:sz w:val="18"/>
              </w:rPr>
              <w:t>SP</w:t>
            </w:r>
          </w:p>
        </w:tc>
        <w:tc>
          <w:tcPr>
            <w:tcW w:type="dxa" w:w="960"/>
          </w:tcPr>
          <w:p>
            <w:pPr>
              <w:jc w:val="center"/>
            </w:pPr>
            <w:r>
              <w:rPr>
                <w:sz w:val="18"/>
              </w:rPr>
              <w:t>694</w:t>
            </w:r>
          </w:p>
        </w:tc>
        <w:tc>
          <w:tcPr>
            <w:tcW w:type="dxa" w:w="960"/>
          </w:tcPr>
          <w:p>
            <w:pPr>
              <w:jc w:val="center"/>
            </w:pPr>
            <w:r>
              <w:rPr>
                <w:sz w:val="18"/>
              </w:rPr>
              <w:t>2.666478</w:t>
            </w:r>
          </w:p>
        </w:tc>
        <w:tc>
          <w:tcPr>
            <w:tcW w:type="dxa" w:w="960"/>
          </w:tcPr>
          <w:p>
            <w:pPr>
              <w:jc w:val="center"/>
            </w:pPr>
            <w:r>
              <w:rPr>
                <w:sz w:val="18"/>
              </w:rPr>
              <w:t>2.014197</w:t>
            </w:r>
          </w:p>
        </w:tc>
        <w:tc>
          <w:tcPr>
            <w:tcW w:type="dxa" w:w="960"/>
          </w:tcPr>
          <w:p>
            <w:pPr>
              <w:jc w:val="center"/>
            </w:pPr>
            <w:r>
              <w:rPr>
                <w:sz w:val="18"/>
              </w:rPr>
              <w:t>0.5697</w:t>
            </w:r>
          </w:p>
        </w:tc>
        <w:tc>
          <w:tcPr>
            <w:tcW w:type="dxa" w:w="960"/>
          </w:tcPr>
          <w:p>
            <w:pPr>
              <w:jc w:val="center"/>
            </w:pPr>
            <w:r>
              <w:rPr>
                <w:sz w:val="18"/>
              </w:rPr>
              <w:t>0.2077</w:t>
            </w:r>
          </w:p>
        </w:tc>
        <w:tc>
          <w:tcPr>
            <w:tcW w:type="dxa" w:w="960"/>
          </w:tcPr>
          <w:p>
            <w:pPr>
              <w:jc w:val="center"/>
            </w:pPr>
            <w:r>
              <w:rPr>
                <w:sz w:val="18"/>
              </w:rPr>
              <w:t>0.1488</w:t>
            </w:r>
          </w:p>
        </w:tc>
        <w:tc>
          <w:tcPr>
            <w:tcW w:type="dxa" w:w="960"/>
          </w:tcPr>
          <w:p>
            <w:pPr>
              <w:jc w:val="center"/>
            </w:pPr>
            <w:r>
              <w:rPr>
                <w:sz w:val="18"/>
              </w:rPr>
              <w:t>0.0</w:t>
            </w:r>
          </w:p>
        </w:tc>
      </w:tr>
      <w:tr>
        <w:tc>
          <w:tcPr>
            <w:tcW w:type="dxa" w:w="960"/>
          </w:tcPr>
          <w:p>
            <w:pPr>
              <w:jc w:val="center"/>
            </w:pPr>
            <w:r>
              <w:rPr>
                <w:sz w:val="18"/>
              </w:rPr>
              <w:t>owner</w:t>
            </w:r>
          </w:p>
        </w:tc>
        <w:tc>
          <w:tcPr>
            <w:tcW w:type="dxa" w:w="960"/>
          </w:tcPr>
          <w:p>
            <w:pPr>
              <w:jc w:val="center"/>
            </w:pPr>
            <w:r>
              <w:rPr>
                <w:sz w:val="18"/>
              </w:rPr>
              <w:t>SC</w:t>
            </w:r>
          </w:p>
        </w:tc>
        <w:tc>
          <w:tcPr>
            <w:tcW w:type="dxa" w:w="960"/>
          </w:tcPr>
          <w:p>
            <w:pPr>
              <w:jc w:val="center"/>
            </w:pPr>
            <w:r>
              <w:rPr>
                <w:sz w:val="18"/>
              </w:rPr>
              <w:t>694</w:t>
            </w:r>
          </w:p>
        </w:tc>
        <w:tc>
          <w:tcPr>
            <w:tcW w:type="dxa" w:w="960"/>
          </w:tcPr>
          <w:p>
            <w:pPr>
              <w:jc w:val="center"/>
            </w:pPr>
            <w:r>
              <w:rPr>
                <w:sz w:val="18"/>
              </w:rPr>
              <w:t>3.367934</w:t>
            </w:r>
          </w:p>
        </w:tc>
        <w:tc>
          <w:tcPr>
            <w:tcW w:type="dxa" w:w="960"/>
          </w:tcPr>
          <w:p>
            <w:pPr>
              <w:jc w:val="center"/>
            </w:pPr>
            <w:r>
              <w:rPr>
                <w:sz w:val="18"/>
              </w:rPr>
              <w:t>1.154551</w:t>
            </w:r>
          </w:p>
        </w:tc>
        <w:tc>
          <w:tcPr>
            <w:tcW w:type="dxa" w:w="960"/>
          </w:tcPr>
          <w:p>
            <w:pPr>
              <w:jc w:val="center"/>
            </w:pPr>
            <w:r>
              <w:rPr>
                <w:sz w:val="18"/>
              </w:rPr>
              <w:t>0.7447</w:t>
            </w:r>
          </w:p>
        </w:tc>
        <w:tc>
          <w:tcPr>
            <w:tcW w:type="dxa" w:w="960"/>
          </w:tcPr>
          <w:p>
            <w:pPr>
              <w:jc w:val="center"/>
            </w:pPr>
            <w:r>
              <w:rPr>
                <w:sz w:val="18"/>
              </w:rPr>
              <w:t>0.1855</w:t>
            </w:r>
          </w:p>
        </w:tc>
        <w:tc>
          <w:tcPr>
            <w:tcW w:type="dxa" w:w="960"/>
          </w:tcPr>
          <w:p>
            <w:pPr>
              <w:jc w:val="center"/>
            </w:pPr>
            <w:r>
              <w:rPr>
                <w:sz w:val="18"/>
              </w:rPr>
              <w:t>0.2861</w:t>
            </w:r>
          </w:p>
        </w:tc>
        <w:tc>
          <w:tcPr>
            <w:tcW w:type="dxa" w:w="960"/>
          </w:tcPr>
          <w:p>
            <w:pPr>
              <w:jc w:val="center"/>
            </w:pPr>
            <w:r>
              <w:rPr>
                <w:sz w:val="18"/>
              </w:rPr>
              <w:t>0.0</w:t>
            </w:r>
          </w:p>
        </w:tc>
      </w:tr>
      <w:tr>
        <w:tc>
          <w:tcPr>
            <w:tcW w:type="dxa" w:w="960"/>
          </w:tcPr>
          <w:p>
            <w:pPr>
              <w:jc w:val="center"/>
            </w:pPr>
            <w:r>
              <w:rPr>
                <w:sz w:val="18"/>
              </w:rPr>
              <w:t>owner</w:t>
            </w:r>
          </w:p>
        </w:tc>
        <w:tc>
          <w:tcPr>
            <w:tcW w:type="dxa" w:w="960"/>
          </w:tcPr>
          <w:p>
            <w:pPr>
              <w:jc w:val="center"/>
            </w:pPr>
            <w:r>
              <w:rPr>
                <w:sz w:val="18"/>
              </w:rPr>
              <w:t>PA</w:t>
            </w:r>
          </w:p>
        </w:tc>
        <w:tc>
          <w:tcPr>
            <w:tcW w:type="dxa" w:w="960"/>
          </w:tcPr>
          <w:p>
            <w:pPr>
              <w:jc w:val="center"/>
            </w:pPr>
            <w:r>
              <w:rPr>
                <w:sz w:val="18"/>
              </w:rPr>
              <w:t>694</w:t>
            </w:r>
          </w:p>
        </w:tc>
        <w:tc>
          <w:tcPr>
            <w:tcW w:type="dxa" w:w="960"/>
          </w:tcPr>
          <w:p>
            <w:pPr>
              <w:jc w:val="center"/>
            </w:pPr>
            <w:r>
              <w:rPr>
                <w:sz w:val="18"/>
              </w:rPr>
              <w:t>3.574675</w:t>
            </w:r>
          </w:p>
        </w:tc>
        <w:tc>
          <w:tcPr>
            <w:tcW w:type="dxa" w:w="960"/>
          </w:tcPr>
          <w:p>
            <w:pPr>
              <w:jc w:val="center"/>
            </w:pPr>
            <w:r>
              <w:rPr>
                <w:sz w:val="18"/>
              </w:rPr>
              <w:t>1.850491</w:t>
            </w:r>
          </w:p>
        </w:tc>
        <w:tc>
          <w:tcPr>
            <w:tcW w:type="dxa" w:w="960"/>
          </w:tcPr>
          <w:p>
            <w:pPr>
              <w:jc w:val="center"/>
            </w:pPr>
            <w:r>
              <w:rPr>
                <w:sz w:val="18"/>
              </w:rPr>
              <w:t>0.6589</w:t>
            </w:r>
          </w:p>
        </w:tc>
        <w:tc>
          <w:tcPr>
            <w:tcW w:type="dxa" w:w="960"/>
          </w:tcPr>
          <w:p>
            <w:pPr>
              <w:jc w:val="center"/>
            </w:pPr>
            <w:r>
              <w:rPr>
                <w:sz w:val="18"/>
              </w:rPr>
              <w:t>0.187</w:t>
            </w:r>
          </w:p>
        </w:tc>
        <w:tc>
          <w:tcPr>
            <w:tcW w:type="dxa" w:w="960"/>
          </w:tcPr>
          <w:p>
            <w:pPr>
              <w:jc w:val="center"/>
            </w:pPr>
            <w:r>
              <w:rPr>
                <w:sz w:val="18"/>
              </w:rPr>
              <w:t>0.1361</w:t>
            </w:r>
          </w:p>
        </w:tc>
        <w:tc>
          <w:tcPr>
            <w:tcW w:type="dxa" w:w="960"/>
          </w:tcPr>
          <w:p>
            <w:pPr>
              <w:jc w:val="center"/>
            </w:pPr>
            <w:r>
              <w:rPr>
                <w:sz w:val="18"/>
              </w:rPr>
              <w:t>0.0</w:t>
            </w:r>
          </w:p>
        </w:tc>
      </w:tr>
      <w:tr>
        <w:tc>
          <w:tcPr>
            <w:tcW w:type="dxa" w:w="960"/>
          </w:tcPr>
          <w:p>
            <w:pPr>
              <w:jc w:val="center"/>
            </w:pPr>
            <w:r>
              <w:rPr>
                <w:sz w:val="18"/>
              </w:rPr>
              <w:t>renter</w:t>
            </w:r>
          </w:p>
        </w:tc>
        <w:tc>
          <w:tcPr>
            <w:tcW w:type="dxa" w:w="960"/>
          </w:tcPr>
          <w:p>
            <w:pPr>
              <w:jc w:val="center"/>
            </w:pPr>
            <w:r>
              <w:rPr>
                <w:sz w:val="18"/>
              </w:rPr>
              <w:t>TP</w:t>
            </w:r>
          </w:p>
        </w:tc>
        <w:tc>
          <w:tcPr>
            <w:tcW w:type="dxa" w:w="960"/>
          </w:tcPr>
          <w:p>
            <w:pPr>
              <w:jc w:val="center"/>
            </w:pPr>
            <w:r>
              <w:rPr>
                <w:sz w:val="18"/>
              </w:rPr>
              <w:t>243</w:t>
            </w:r>
          </w:p>
        </w:tc>
        <w:tc>
          <w:tcPr>
            <w:tcW w:type="dxa" w:w="960"/>
          </w:tcPr>
          <w:p>
            <w:pPr>
              <w:jc w:val="center"/>
            </w:pPr>
            <w:r>
              <w:rPr>
                <w:sz w:val="18"/>
              </w:rPr>
              <w:t>4.765219</w:t>
            </w:r>
          </w:p>
        </w:tc>
        <w:tc>
          <w:tcPr>
            <w:tcW w:type="dxa" w:w="960"/>
          </w:tcPr>
          <w:p>
            <w:pPr>
              <w:jc w:val="center"/>
            </w:pPr>
            <w:r>
              <w:rPr>
                <w:sz w:val="18"/>
              </w:rPr>
              <w:t>3.36416</w:t>
            </w:r>
          </w:p>
        </w:tc>
        <w:tc>
          <w:tcPr>
            <w:tcW w:type="dxa" w:w="960"/>
          </w:tcPr>
          <w:p>
            <w:pPr>
              <w:jc w:val="center"/>
            </w:pPr>
            <w:r>
              <w:rPr>
                <w:sz w:val="18"/>
              </w:rPr>
              <w:t>0.5862</w:t>
            </w:r>
          </w:p>
        </w:tc>
        <w:tc>
          <w:tcPr>
            <w:tcW w:type="dxa" w:w="960"/>
          </w:tcPr>
          <w:p>
            <w:pPr>
              <w:jc w:val="center"/>
            </w:pPr>
            <w:r>
              <w:rPr>
                <w:sz w:val="18"/>
              </w:rPr>
              <w:t>0.163</w:t>
            </w:r>
          </w:p>
        </w:tc>
        <w:tc>
          <w:tcPr>
            <w:tcW w:type="dxa" w:w="960"/>
          </w:tcPr>
          <w:p>
            <w:pPr>
              <w:jc w:val="center"/>
            </w:pPr>
            <w:r>
              <w:rPr>
                <w:sz w:val="18"/>
              </w:rPr>
              <w:t>0.0459</w:t>
            </w:r>
          </w:p>
        </w:tc>
        <w:tc>
          <w:tcPr>
            <w:tcW w:type="dxa" w:w="960"/>
          </w:tcPr>
          <w:p>
            <w:pPr>
              <w:jc w:val="center"/>
            </w:pPr>
            <w:r>
              <w:rPr>
                <w:sz w:val="18"/>
              </w:rPr>
              <w:t>0.6673</w:t>
            </w:r>
          </w:p>
        </w:tc>
      </w:tr>
      <w:tr>
        <w:tc>
          <w:tcPr>
            <w:tcW w:type="dxa" w:w="960"/>
          </w:tcPr>
          <w:p>
            <w:pPr>
              <w:jc w:val="center"/>
            </w:pPr>
            <w:r>
              <w:rPr>
                <w:sz w:val="18"/>
              </w:rPr>
              <w:t>renter</w:t>
            </w:r>
          </w:p>
        </w:tc>
        <w:tc>
          <w:tcPr>
            <w:tcW w:type="dxa" w:w="960"/>
          </w:tcPr>
          <w:p>
            <w:pPr>
              <w:jc w:val="center"/>
            </w:pPr>
            <w:r>
              <w:rPr>
                <w:sz w:val="18"/>
              </w:rPr>
              <w:t>CP</w:t>
            </w:r>
          </w:p>
        </w:tc>
        <w:tc>
          <w:tcPr>
            <w:tcW w:type="dxa" w:w="960"/>
          </w:tcPr>
          <w:p>
            <w:pPr>
              <w:jc w:val="center"/>
            </w:pPr>
            <w:r>
              <w:rPr>
                <w:sz w:val="18"/>
              </w:rPr>
              <w:t>243</w:t>
            </w:r>
          </w:p>
        </w:tc>
        <w:tc>
          <w:tcPr>
            <w:tcW w:type="dxa" w:w="960"/>
          </w:tcPr>
          <w:p>
            <w:pPr>
              <w:jc w:val="center"/>
            </w:pPr>
            <w:r>
              <w:rPr>
                <w:sz w:val="18"/>
              </w:rPr>
              <w:t>5.236203</w:t>
            </w:r>
          </w:p>
        </w:tc>
        <w:tc>
          <w:tcPr>
            <w:tcW w:type="dxa" w:w="960"/>
          </w:tcPr>
          <w:p>
            <w:pPr>
              <w:jc w:val="center"/>
            </w:pPr>
            <w:r>
              <w:rPr>
                <w:sz w:val="18"/>
              </w:rPr>
              <w:t>3.154798</w:t>
            </w:r>
          </w:p>
        </w:tc>
        <w:tc>
          <w:tcPr>
            <w:tcW w:type="dxa" w:w="960"/>
          </w:tcPr>
          <w:p>
            <w:pPr>
              <w:jc w:val="center"/>
            </w:pPr>
            <w:r>
              <w:rPr>
                <w:sz w:val="18"/>
              </w:rPr>
              <w:t>0.624</w:t>
            </w:r>
          </w:p>
        </w:tc>
        <w:tc>
          <w:tcPr>
            <w:tcW w:type="dxa" w:w="960"/>
          </w:tcPr>
          <w:p>
            <w:pPr>
              <w:jc w:val="center"/>
            </w:pPr>
            <w:r>
              <w:rPr>
                <w:sz w:val="18"/>
              </w:rPr>
              <w:t>0.1581</w:t>
            </w:r>
          </w:p>
        </w:tc>
        <w:tc>
          <w:tcPr>
            <w:tcW w:type="dxa" w:w="960"/>
          </w:tcPr>
          <w:p>
            <w:pPr>
              <w:jc w:val="center"/>
            </w:pPr>
            <w:r>
              <w:rPr>
                <w:sz w:val="18"/>
              </w:rPr>
              <w:t>0.1113</w:t>
            </w:r>
          </w:p>
        </w:tc>
        <w:tc>
          <w:tcPr>
            <w:tcW w:type="dxa" w:w="960"/>
          </w:tcPr>
          <w:p>
            <w:pPr>
              <w:jc w:val="center"/>
            </w:pPr>
            <w:r>
              <w:rPr>
                <w:sz w:val="18"/>
              </w:rPr>
              <w:t>0.0044</w:t>
            </w:r>
          </w:p>
        </w:tc>
      </w:tr>
      <w:tr>
        <w:tc>
          <w:tcPr>
            <w:tcW w:type="dxa" w:w="960"/>
          </w:tcPr>
          <w:p>
            <w:pPr>
              <w:jc w:val="center"/>
            </w:pPr>
            <w:r>
              <w:rPr>
                <w:sz w:val="18"/>
              </w:rPr>
              <w:t>renter</w:t>
            </w:r>
          </w:p>
        </w:tc>
        <w:tc>
          <w:tcPr>
            <w:tcW w:type="dxa" w:w="960"/>
          </w:tcPr>
          <w:p>
            <w:pPr>
              <w:jc w:val="center"/>
            </w:pPr>
            <w:r>
              <w:rPr>
                <w:sz w:val="18"/>
              </w:rPr>
              <w:t>SP</w:t>
            </w:r>
          </w:p>
        </w:tc>
        <w:tc>
          <w:tcPr>
            <w:tcW w:type="dxa" w:w="960"/>
          </w:tcPr>
          <w:p>
            <w:pPr>
              <w:jc w:val="center"/>
            </w:pPr>
            <w:r>
              <w:rPr>
                <w:sz w:val="18"/>
              </w:rPr>
              <w:t>243</w:t>
            </w:r>
          </w:p>
        </w:tc>
        <w:tc>
          <w:tcPr>
            <w:tcW w:type="dxa" w:w="960"/>
          </w:tcPr>
          <w:p>
            <w:pPr>
              <w:jc w:val="center"/>
            </w:pPr>
            <w:r>
              <w:rPr>
                <w:sz w:val="18"/>
              </w:rPr>
              <w:t>2.142183</w:t>
            </w:r>
          </w:p>
        </w:tc>
        <w:tc>
          <w:tcPr>
            <w:tcW w:type="dxa" w:w="960"/>
          </w:tcPr>
          <w:p>
            <w:pPr>
              <w:jc w:val="center"/>
            </w:pPr>
            <w:r>
              <w:rPr>
                <w:sz w:val="18"/>
              </w:rPr>
              <w:t>1.474363</w:t>
            </w:r>
          </w:p>
        </w:tc>
        <w:tc>
          <w:tcPr>
            <w:tcW w:type="dxa" w:w="960"/>
          </w:tcPr>
          <w:p>
            <w:pPr>
              <w:jc w:val="center"/>
            </w:pPr>
            <w:r>
              <w:rPr>
                <w:sz w:val="18"/>
              </w:rPr>
              <w:t>0.5923</w:t>
            </w:r>
          </w:p>
        </w:tc>
        <w:tc>
          <w:tcPr>
            <w:tcW w:type="dxa" w:w="960"/>
          </w:tcPr>
          <w:p>
            <w:pPr>
              <w:jc w:val="center"/>
            </w:pPr>
            <w:r>
              <w:rPr>
                <w:sz w:val="18"/>
              </w:rPr>
              <w:t>0.2287</w:t>
            </w:r>
          </w:p>
        </w:tc>
        <w:tc>
          <w:tcPr>
            <w:tcW w:type="dxa" w:w="960"/>
          </w:tcPr>
          <w:p>
            <w:pPr>
              <w:jc w:val="center"/>
            </w:pPr>
            <w:r>
              <w:rPr>
                <w:sz w:val="18"/>
              </w:rPr>
              <w:t>0.1748</w:t>
            </w:r>
          </w:p>
        </w:tc>
        <w:tc>
          <w:tcPr>
            <w:tcW w:type="dxa" w:w="960"/>
          </w:tcPr>
          <w:p>
            <w:pPr>
              <w:jc w:val="center"/>
            </w:pPr>
            <w:r>
              <w:rPr>
                <w:sz w:val="18"/>
              </w:rPr>
              <w:t>0.0</w:t>
            </w:r>
          </w:p>
        </w:tc>
      </w:tr>
      <w:tr>
        <w:tc>
          <w:tcPr>
            <w:tcW w:type="dxa" w:w="960"/>
          </w:tcPr>
          <w:p>
            <w:pPr>
              <w:jc w:val="center"/>
            </w:pPr>
            <w:r>
              <w:rPr>
                <w:sz w:val="18"/>
              </w:rPr>
              <w:t>renter</w:t>
            </w:r>
          </w:p>
        </w:tc>
        <w:tc>
          <w:tcPr>
            <w:tcW w:type="dxa" w:w="960"/>
          </w:tcPr>
          <w:p>
            <w:pPr>
              <w:jc w:val="center"/>
            </w:pPr>
            <w:r>
              <w:rPr>
                <w:sz w:val="18"/>
              </w:rPr>
              <w:t>SC</w:t>
            </w:r>
          </w:p>
        </w:tc>
        <w:tc>
          <w:tcPr>
            <w:tcW w:type="dxa" w:w="960"/>
          </w:tcPr>
          <w:p>
            <w:pPr>
              <w:jc w:val="center"/>
            </w:pPr>
            <w:r>
              <w:rPr>
                <w:sz w:val="18"/>
              </w:rPr>
              <w:t>243</w:t>
            </w:r>
          </w:p>
        </w:tc>
        <w:tc>
          <w:tcPr>
            <w:tcW w:type="dxa" w:w="960"/>
          </w:tcPr>
          <w:p>
            <w:pPr>
              <w:jc w:val="center"/>
            </w:pPr>
            <w:r>
              <w:rPr>
                <w:sz w:val="18"/>
              </w:rPr>
              <w:t>3.996214</w:t>
            </w:r>
          </w:p>
        </w:tc>
        <w:tc>
          <w:tcPr>
            <w:tcW w:type="dxa" w:w="960"/>
          </w:tcPr>
          <w:p>
            <w:pPr>
              <w:jc w:val="center"/>
            </w:pPr>
            <w:r>
              <w:rPr>
                <w:sz w:val="18"/>
              </w:rPr>
              <w:t>1.576349</w:t>
            </w:r>
          </w:p>
        </w:tc>
        <w:tc>
          <w:tcPr>
            <w:tcW w:type="dxa" w:w="960"/>
          </w:tcPr>
          <w:p>
            <w:pPr>
              <w:jc w:val="center"/>
            </w:pPr>
            <w:r>
              <w:rPr>
                <w:sz w:val="18"/>
              </w:rPr>
              <w:t>0.7171</w:t>
            </w:r>
          </w:p>
        </w:tc>
        <w:tc>
          <w:tcPr>
            <w:tcW w:type="dxa" w:w="960"/>
          </w:tcPr>
          <w:p>
            <w:pPr>
              <w:jc w:val="center"/>
            </w:pPr>
            <w:r>
              <w:rPr>
                <w:sz w:val="18"/>
              </w:rPr>
              <w:t>0.1757</w:t>
            </w:r>
          </w:p>
        </w:tc>
        <w:tc>
          <w:tcPr>
            <w:tcW w:type="dxa" w:w="960"/>
          </w:tcPr>
          <w:p>
            <w:pPr>
              <w:jc w:val="center"/>
            </w:pPr>
            <w:r>
              <w:rPr>
                <w:sz w:val="18"/>
              </w:rPr>
              <w:t>0.2133</w:t>
            </w:r>
          </w:p>
        </w:tc>
        <w:tc>
          <w:tcPr>
            <w:tcW w:type="dxa" w:w="960"/>
          </w:tcPr>
          <w:p>
            <w:pPr>
              <w:jc w:val="center"/>
            </w:pPr>
            <w:r>
              <w:rPr>
                <w:sz w:val="18"/>
              </w:rPr>
              <w:t>0.0</w:t>
            </w:r>
          </w:p>
        </w:tc>
      </w:tr>
      <w:tr>
        <w:tc>
          <w:tcPr>
            <w:tcW w:type="dxa" w:w="960"/>
          </w:tcPr>
          <w:p>
            <w:pPr>
              <w:jc w:val="center"/>
            </w:pPr>
            <w:r>
              <w:rPr>
                <w:sz w:val="18"/>
              </w:rPr>
              <w:t>renter</w:t>
            </w:r>
          </w:p>
        </w:tc>
        <w:tc>
          <w:tcPr>
            <w:tcW w:type="dxa" w:w="960"/>
          </w:tcPr>
          <w:p>
            <w:pPr>
              <w:jc w:val="center"/>
            </w:pPr>
            <w:r>
              <w:rPr>
                <w:sz w:val="18"/>
              </w:rPr>
              <w:t>PA</w:t>
            </w:r>
          </w:p>
        </w:tc>
        <w:tc>
          <w:tcPr>
            <w:tcW w:type="dxa" w:w="960"/>
          </w:tcPr>
          <w:p>
            <w:pPr>
              <w:jc w:val="center"/>
            </w:pPr>
            <w:r>
              <w:rPr>
                <w:sz w:val="18"/>
              </w:rPr>
              <w:t>243</w:t>
            </w:r>
          </w:p>
        </w:tc>
        <w:tc>
          <w:tcPr>
            <w:tcW w:type="dxa" w:w="960"/>
          </w:tcPr>
          <w:p>
            <w:pPr>
              <w:jc w:val="center"/>
            </w:pPr>
            <w:r>
              <w:rPr>
                <w:sz w:val="18"/>
              </w:rPr>
              <w:t>2.761719</w:t>
            </w:r>
          </w:p>
        </w:tc>
        <w:tc>
          <w:tcPr>
            <w:tcW w:type="dxa" w:w="960"/>
          </w:tcPr>
          <w:p>
            <w:pPr>
              <w:jc w:val="center"/>
            </w:pPr>
            <w:r>
              <w:rPr>
                <w:sz w:val="18"/>
              </w:rPr>
              <w:t>1.42806</w:t>
            </w:r>
          </w:p>
        </w:tc>
        <w:tc>
          <w:tcPr>
            <w:tcW w:type="dxa" w:w="960"/>
          </w:tcPr>
          <w:p>
            <w:pPr>
              <w:jc w:val="center"/>
            </w:pPr>
            <w:r>
              <w:rPr>
                <w:sz w:val="18"/>
              </w:rPr>
              <w:t>0.6592</w:t>
            </w:r>
          </w:p>
        </w:tc>
        <w:tc>
          <w:tcPr>
            <w:tcW w:type="dxa" w:w="960"/>
          </w:tcPr>
          <w:p>
            <w:pPr>
              <w:jc w:val="center"/>
            </w:pPr>
            <w:r>
              <w:rPr>
                <w:sz w:val="18"/>
              </w:rPr>
              <w:t>0.2081</w:t>
            </w:r>
          </w:p>
        </w:tc>
        <w:tc>
          <w:tcPr>
            <w:tcW w:type="dxa" w:w="960"/>
          </w:tcPr>
          <w:p>
            <w:pPr>
              <w:jc w:val="center"/>
            </w:pPr>
            <w:r>
              <w:rPr>
                <w:sz w:val="18"/>
              </w:rPr>
              <w:t>0.1649</w:t>
            </w:r>
          </w:p>
        </w:tc>
        <w:tc>
          <w:tcPr>
            <w:tcW w:type="dxa" w:w="960"/>
          </w:tcPr>
          <w:p>
            <w:pPr>
              <w:jc w:val="center"/>
            </w:pPr>
            <w:r>
              <w:rPr>
                <w:sz w:val="18"/>
              </w:rPr>
              <w:t>0.0</w:t>
            </w:r>
          </w:p>
        </w:tc>
      </w:tr>
    </w:tbl>
    <w:p/>
    <w:p>
      <w:pPr>
        <w:pStyle w:val="Heading2"/>
      </w:pPr>
      <w:r>
        <w:rPr>
          <w:color w:val="1A237E"/>
        </w:rPr>
        <w:t>3.1 Key Observations</w:t>
      </w:r>
    </w:p>
    <w:p>
      <w:r>
        <w:t>• TP (Threat Perception): Owner has slightly tighter distribution (α=6.12 vs 4.77). Renter TP shows excellent KS fit (p=0.667); owner TP marginal (p=0.037).</w:t>
        <w:br/>
        <w:t>• CP (Coping Perception): Very similar between groups (mean ~0.62).</w:t>
        <w:br/>
        <w:t>• SP (Social Perception): Renter has slightly higher mean (0.592 vs 0.570) and wider spread.</w:t>
        <w:br/>
        <w:t>• SC (Social Capital): Owner has higher mean (0.745 vs 0.717). Both distributions are strongly right-skewed (β &lt; 2).</w:t>
        <w:br/>
        <w:t>• PA (Place Attachment): Nearly identical means (~0.659). Owner has tighter distribution.</w:t>
        <w:br/>
        <w:t>• KS test: Only TP passes for both groups. Other variables show significant deviation — likely due to discrete Likert data creating non-smooth distributions. The Beta approximation is standard practice for ABM initialization despite this.</w:t>
      </w:r>
    </w:p>
    <w:p>
      <w:pPr>
        <w:pStyle w:val="Heading2"/>
      </w:pPr>
      <w:r>
        <w:rPr>
          <w:color w:val="1A237E"/>
        </w:rPr>
        <w:t>3.2 Comparison with Old MG/NMG Parameters</w:t>
      </w:r>
    </w:p>
    <w:tbl>
      <w:tblPr>
        <w:tblStyle w:val="LightShading-Accent1"/>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pPr>
              <w:jc w:val="center"/>
            </w:pPr>
            <w:r>
              <w:rPr>
                <w:b/>
                <w:sz w:val="18"/>
              </w:rPr>
              <w:t>Variable</w:t>
            </w:r>
          </w:p>
        </w:tc>
        <w:tc>
          <w:tcPr>
            <w:tcW w:type="dxa" w:w="665"/>
          </w:tcPr>
          <w:p>
            <w:pPr>
              <w:jc w:val="center"/>
            </w:pPr>
            <w:r>
              <w:rPr>
                <w:b/>
                <w:sz w:val="18"/>
              </w:rPr>
              <w:t>MG α</w:t>
            </w:r>
          </w:p>
        </w:tc>
        <w:tc>
          <w:tcPr>
            <w:tcW w:type="dxa" w:w="665"/>
          </w:tcPr>
          <w:p>
            <w:pPr>
              <w:jc w:val="center"/>
            </w:pPr>
            <w:r>
              <w:rPr>
                <w:b/>
                <w:sz w:val="18"/>
              </w:rPr>
              <w:t>MG β</w:t>
            </w:r>
          </w:p>
        </w:tc>
        <w:tc>
          <w:tcPr>
            <w:tcW w:type="dxa" w:w="665"/>
          </w:tcPr>
          <w:p>
            <w:pPr>
              <w:jc w:val="center"/>
            </w:pPr>
            <w:r>
              <w:rPr>
                <w:b/>
                <w:sz w:val="18"/>
              </w:rPr>
              <w:t>MG mean</w:t>
            </w:r>
          </w:p>
        </w:tc>
        <w:tc>
          <w:tcPr>
            <w:tcW w:type="dxa" w:w="665"/>
          </w:tcPr>
          <w:p>
            <w:pPr>
              <w:jc w:val="center"/>
            </w:pPr>
            <w:r>
              <w:rPr>
                <w:b/>
                <w:sz w:val="18"/>
              </w:rPr>
              <w:t>NMG α</w:t>
            </w:r>
          </w:p>
        </w:tc>
        <w:tc>
          <w:tcPr>
            <w:tcW w:type="dxa" w:w="665"/>
          </w:tcPr>
          <w:p>
            <w:pPr>
              <w:jc w:val="center"/>
            </w:pPr>
            <w:r>
              <w:rPr>
                <w:b/>
                <w:sz w:val="18"/>
              </w:rPr>
              <w:t>NMG β</w:t>
            </w:r>
          </w:p>
        </w:tc>
        <w:tc>
          <w:tcPr>
            <w:tcW w:type="dxa" w:w="665"/>
          </w:tcPr>
          <w:p>
            <w:pPr>
              <w:jc w:val="center"/>
            </w:pPr>
            <w:r>
              <w:rPr>
                <w:b/>
                <w:sz w:val="18"/>
              </w:rPr>
              <w:t>NMG mean</w:t>
            </w:r>
          </w:p>
        </w:tc>
        <w:tc>
          <w:tcPr>
            <w:tcW w:type="dxa" w:w="665"/>
          </w:tcPr>
          <w:p>
            <w:pPr>
              <w:jc w:val="center"/>
            </w:pPr>
            <w:r>
              <w:rPr>
                <w:b/>
                <w:sz w:val="18"/>
              </w:rPr>
              <w:t>Owner α</w:t>
            </w:r>
          </w:p>
        </w:tc>
        <w:tc>
          <w:tcPr>
            <w:tcW w:type="dxa" w:w="665"/>
          </w:tcPr>
          <w:p>
            <w:pPr>
              <w:jc w:val="center"/>
            </w:pPr>
            <w:r>
              <w:rPr>
                <w:b/>
                <w:sz w:val="18"/>
              </w:rPr>
              <w:t>Owner β</w:t>
            </w:r>
          </w:p>
        </w:tc>
        <w:tc>
          <w:tcPr>
            <w:tcW w:type="dxa" w:w="665"/>
          </w:tcPr>
          <w:p>
            <w:pPr>
              <w:jc w:val="center"/>
            </w:pPr>
            <w:r>
              <w:rPr>
                <w:b/>
                <w:sz w:val="18"/>
              </w:rPr>
              <w:t>Owner mean</w:t>
            </w:r>
          </w:p>
        </w:tc>
        <w:tc>
          <w:tcPr>
            <w:tcW w:type="dxa" w:w="665"/>
          </w:tcPr>
          <w:p>
            <w:pPr>
              <w:jc w:val="center"/>
            </w:pPr>
            <w:r>
              <w:rPr>
                <w:b/>
                <w:sz w:val="18"/>
              </w:rPr>
              <w:t>Renter α</w:t>
            </w:r>
          </w:p>
        </w:tc>
        <w:tc>
          <w:tcPr>
            <w:tcW w:type="dxa" w:w="665"/>
          </w:tcPr>
          <w:p>
            <w:pPr>
              <w:jc w:val="center"/>
            </w:pPr>
            <w:r>
              <w:rPr>
                <w:b/>
                <w:sz w:val="18"/>
              </w:rPr>
              <w:t>Renter β</w:t>
            </w:r>
          </w:p>
        </w:tc>
        <w:tc>
          <w:tcPr>
            <w:tcW w:type="dxa" w:w="665"/>
          </w:tcPr>
          <w:p>
            <w:pPr>
              <w:jc w:val="center"/>
            </w:pPr>
            <w:r>
              <w:rPr>
                <w:b/>
                <w:sz w:val="18"/>
              </w:rPr>
              <w:t>Renter mean</w:t>
            </w:r>
          </w:p>
        </w:tc>
      </w:tr>
      <w:tr>
        <w:tc>
          <w:tcPr>
            <w:tcW w:type="dxa" w:w="665"/>
          </w:tcPr>
          <w:p>
            <w:pPr>
              <w:jc w:val="center"/>
            </w:pPr>
            <w:r>
              <w:rPr>
                <w:sz w:val="18"/>
              </w:rPr>
              <w:t>TP</w:t>
            </w:r>
          </w:p>
        </w:tc>
        <w:tc>
          <w:tcPr>
            <w:tcW w:type="dxa" w:w="665"/>
          </w:tcPr>
          <w:p>
            <w:pPr>
              <w:jc w:val="center"/>
            </w:pPr>
            <w:r>
              <w:rPr>
                <w:sz w:val="18"/>
              </w:rPr>
              <w:t>4.441</w:t>
            </w:r>
          </w:p>
        </w:tc>
        <w:tc>
          <w:tcPr>
            <w:tcW w:type="dxa" w:w="665"/>
          </w:tcPr>
          <w:p>
            <w:pPr>
              <w:jc w:val="center"/>
            </w:pPr>
            <w:r>
              <w:rPr>
                <w:sz w:val="18"/>
              </w:rPr>
              <w:t>2.887</w:t>
            </w:r>
          </w:p>
        </w:tc>
        <w:tc>
          <w:tcPr>
            <w:tcW w:type="dxa" w:w="665"/>
          </w:tcPr>
          <w:p>
            <w:pPr>
              <w:jc w:val="center"/>
            </w:pPr>
            <w:r>
              <w:rPr>
                <w:sz w:val="18"/>
              </w:rPr>
              <w:t>0.606</w:t>
            </w:r>
          </w:p>
        </w:tc>
        <w:tc>
          <w:tcPr>
            <w:tcW w:type="dxa" w:w="665"/>
          </w:tcPr>
          <w:p>
            <w:pPr>
              <w:jc w:val="center"/>
            </w:pPr>
            <w:r>
              <w:rPr>
                <w:sz w:val="18"/>
              </w:rPr>
              <w:t>5.346</w:t>
            </w:r>
          </w:p>
        </w:tc>
        <w:tc>
          <w:tcPr>
            <w:tcW w:type="dxa" w:w="665"/>
          </w:tcPr>
          <w:p>
            <w:pPr>
              <w:jc w:val="center"/>
            </w:pPr>
            <w:r>
              <w:rPr>
                <w:sz w:val="18"/>
              </w:rPr>
              <w:t>3.615</w:t>
            </w:r>
          </w:p>
        </w:tc>
        <w:tc>
          <w:tcPr>
            <w:tcW w:type="dxa" w:w="665"/>
          </w:tcPr>
          <w:p>
            <w:pPr>
              <w:jc w:val="center"/>
            </w:pPr>
            <w:r>
              <w:rPr>
                <w:sz w:val="18"/>
              </w:rPr>
              <w:t>0.597</w:t>
            </w:r>
          </w:p>
        </w:tc>
        <w:tc>
          <w:tcPr>
            <w:tcW w:type="dxa" w:w="665"/>
          </w:tcPr>
          <w:p>
            <w:pPr>
              <w:jc w:val="center"/>
            </w:pPr>
            <w:r>
              <w:rPr>
                <w:sz w:val="18"/>
              </w:rPr>
              <w:t>6.123</w:t>
            </w:r>
          </w:p>
        </w:tc>
        <w:tc>
          <w:tcPr>
            <w:tcW w:type="dxa" w:w="665"/>
          </w:tcPr>
          <w:p>
            <w:pPr>
              <w:jc w:val="center"/>
            </w:pPr>
            <w:r>
              <w:rPr>
                <w:sz w:val="18"/>
              </w:rPr>
              <w:t>4.48</w:t>
            </w:r>
          </w:p>
        </w:tc>
        <w:tc>
          <w:tcPr>
            <w:tcW w:type="dxa" w:w="665"/>
          </w:tcPr>
          <w:p>
            <w:pPr>
              <w:jc w:val="center"/>
            </w:pPr>
            <w:r>
              <w:rPr>
                <w:sz w:val="18"/>
              </w:rPr>
              <w:t>0.578</w:t>
            </w:r>
          </w:p>
        </w:tc>
        <w:tc>
          <w:tcPr>
            <w:tcW w:type="dxa" w:w="665"/>
          </w:tcPr>
          <w:p>
            <w:pPr>
              <w:jc w:val="center"/>
            </w:pPr>
            <w:r>
              <w:rPr>
                <w:sz w:val="18"/>
              </w:rPr>
              <w:t>4.765</w:t>
            </w:r>
          </w:p>
        </w:tc>
        <w:tc>
          <w:tcPr>
            <w:tcW w:type="dxa" w:w="665"/>
          </w:tcPr>
          <w:p>
            <w:pPr>
              <w:jc w:val="center"/>
            </w:pPr>
            <w:r>
              <w:rPr>
                <w:sz w:val="18"/>
              </w:rPr>
              <w:t>3.364</w:t>
            </w:r>
          </w:p>
        </w:tc>
        <w:tc>
          <w:tcPr>
            <w:tcW w:type="dxa" w:w="665"/>
          </w:tcPr>
          <w:p>
            <w:pPr>
              <w:jc w:val="center"/>
            </w:pPr>
            <w:r>
              <w:rPr>
                <w:sz w:val="18"/>
              </w:rPr>
              <w:t>0.586</w:t>
            </w:r>
          </w:p>
        </w:tc>
      </w:tr>
      <w:tr>
        <w:tc>
          <w:tcPr>
            <w:tcW w:type="dxa" w:w="665"/>
          </w:tcPr>
          <w:p>
            <w:pPr>
              <w:jc w:val="center"/>
            </w:pPr>
            <w:r>
              <w:rPr>
                <w:sz w:val="18"/>
              </w:rPr>
              <w:t>CP</w:t>
            </w:r>
          </w:p>
        </w:tc>
        <w:tc>
          <w:tcPr>
            <w:tcW w:type="dxa" w:w="665"/>
          </w:tcPr>
          <w:p>
            <w:pPr>
              <w:jc w:val="center"/>
            </w:pPr>
            <w:r>
              <w:rPr>
                <w:sz w:val="18"/>
              </w:rPr>
              <w:t>4.078</w:t>
            </w:r>
          </w:p>
        </w:tc>
        <w:tc>
          <w:tcPr>
            <w:tcW w:type="dxa" w:w="665"/>
          </w:tcPr>
          <w:p>
            <w:pPr>
              <w:jc w:val="center"/>
            </w:pPr>
            <w:r>
              <w:rPr>
                <w:sz w:val="18"/>
              </w:rPr>
              <w:t>3.33</w:t>
            </w:r>
          </w:p>
        </w:tc>
        <w:tc>
          <w:tcPr>
            <w:tcW w:type="dxa" w:w="665"/>
          </w:tcPr>
          <w:p>
            <w:pPr>
              <w:jc w:val="center"/>
            </w:pPr>
            <w:r>
              <w:rPr>
                <w:sz w:val="18"/>
              </w:rPr>
              <w:t>0.55</w:t>
            </w:r>
          </w:p>
        </w:tc>
        <w:tc>
          <w:tcPr>
            <w:tcW w:type="dxa" w:w="665"/>
          </w:tcPr>
          <w:p>
            <w:pPr>
              <w:jc w:val="center"/>
            </w:pPr>
            <w:r>
              <w:rPr>
                <w:sz w:val="18"/>
              </w:rPr>
              <w:t>5.263</w:t>
            </w:r>
          </w:p>
        </w:tc>
        <w:tc>
          <w:tcPr>
            <w:tcW w:type="dxa" w:w="665"/>
          </w:tcPr>
          <w:p>
            <w:pPr>
              <w:jc w:val="center"/>
            </w:pPr>
            <w:r>
              <w:rPr>
                <w:sz w:val="18"/>
              </w:rPr>
              <w:t>4.178</w:t>
            </w:r>
          </w:p>
        </w:tc>
        <w:tc>
          <w:tcPr>
            <w:tcW w:type="dxa" w:w="665"/>
          </w:tcPr>
          <w:p>
            <w:pPr>
              <w:jc w:val="center"/>
            </w:pPr>
            <w:r>
              <w:rPr>
                <w:sz w:val="18"/>
              </w:rPr>
              <w:t>0.557</w:t>
            </w:r>
          </w:p>
        </w:tc>
        <w:tc>
          <w:tcPr>
            <w:tcW w:type="dxa" w:w="665"/>
          </w:tcPr>
          <w:p>
            <w:pPr>
              <w:jc w:val="center"/>
            </w:pPr>
            <w:r>
              <w:rPr>
                <w:sz w:val="18"/>
              </w:rPr>
              <w:t>5.43</w:t>
            </w:r>
          </w:p>
        </w:tc>
        <w:tc>
          <w:tcPr>
            <w:tcW w:type="dxa" w:w="665"/>
          </w:tcPr>
          <w:p>
            <w:pPr>
              <w:jc w:val="center"/>
            </w:pPr>
            <w:r>
              <w:rPr>
                <w:sz w:val="18"/>
              </w:rPr>
              <w:t>3.333</w:t>
            </w:r>
          </w:p>
        </w:tc>
        <w:tc>
          <w:tcPr>
            <w:tcW w:type="dxa" w:w="665"/>
          </w:tcPr>
          <w:p>
            <w:pPr>
              <w:jc w:val="center"/>
            </w:pPr>
            <w:r>
              <w:rPr>
                <w:sz w:val="18"/>
              </w:rPr>
              <w:t>0.62</w:t>
            </w:r>
          </w:p>
        </w:tc>
        <w:tc>
          <w:tcPr>
            <w:tcW w:type="dxa" w:w="665"/>
          </w:tcPr>
          <w:p>
            <w:pPr>
              <w:jc w:val="center"/>
            </w:pPr>
            <w:r>
              <w:rPr>
                <w:sz w:val="18"/>
              </w:rPr>
              <w:t>5.236</w:t>
            </w:r>
          </w:p>
        </w:tc>
        <w:tc>
          <w:tcPr>
            <w:tcW w:type="dxa" w:w="665"/>
          </w:tcPr>
          <w:p>
            <w:pPr>
              <w:jc w:val="center"/>
            </w:pPr>
            <w:r>
              <w:rPr>
                <w:sz w:val="18"/>
              </w:rPr>
              <w:t>3.155</w:t>
            </w:r>
          </w:p>
        </w:tc>
        <w:tc>
          <w:tcPr>
            <w:tcW w:type="dxa" w:w="665"/>
          </w:tcPr>
          <w:p>
            <w:pPr>
              <w:jc w:val="center"/>
            </w:pPr>
            <w:r>
              <w:rPr>
                <w:sz w:val="18"/>
              </w:rPr>
              <w:t>0.624</w:t>
            </w:r>
          </w:p>
        </w:tc>
      </w:tr>
      <w:tr>
        <w:tc>
          <w:tcPr>
            <w:tcW w:type="dxa" w:w="665"/>
          </w:tcPr>
          <w:p>
            <w:pPr>
              <w:jc w:val="center"/>
            </w:pPr>
            <w:r>
              <w:rPr>
                <w:sz w:val="18"/>
              </w:rPr>
              <w:t>SP</w:t>
            </w:r>
          </w:p>
        </w:tc>
        <w:tc>
          <w:tcPr>
            <w:tcW w:type="dxa" w:w="665"/>
          </w:tcPr>
          <w:p>
            <w:pPr>
              <w:jc w:val="center"/>
            </w:pPr>
            <w:r>
              <w:rPr>
                <w:sz w:val="18"/>
              </w:rPr>
              <w:t>1.367</w:t>
            </w:r>
          </w:p>
        </w:tc>
        <w:tc>
          <w:tcPr>
            <w:tcW w:type="dxa" w:w="665"/>
          </w:tcPr>
          <w:p>
            <w:pPr>
              <w:jc w:val="center"/>
            </w:pPr>
            <w:r>
              <w:rPr>
                <w:sz w:val="18"/>
              </w:rPr>
              <w:t>1.694</w:t>
            </w:r>
          </w:p>
        </w:tc>
        <w:tc>
          <w:tcPr>
            <w:tcW w:type="dxa" w:w="665"/>
          </w:tcPr>
          <w:p>
            <w:pPr>
              <w:jc w:val="center"/>
            </w:pPr>
            <w:r>
              <w:rPr>
                <w:sz w:val="18"/>
              </w:rPr>
              <w:t>0.447</w:t>
            </w:r>
          </w:p>
        </w:tc>
        <w:tc>
          <w:tcPr>
            <w:tcW w:type="dxa" w:w="665"/>
          </w:tcPr>
          <w:p>
            <w:pPr>
              <w:jc w:val="center"/>
            </w:pPr>
            <w:r>
              <w:rPr>
                <w:sz w:val="18"/>
              </w:rPr>
              <w:t>1.725</w:t>
            </w:r>
          </w:p>
        </w:tc>
        <w:tc>
          <w:tcPr>
            <w:tcW w:type="dxa" w:w="665"/>
          </w:tcPr>
          <w:p>
            <w:pPr>
              <w:jc w:val="center"/>
            </w:pPr>
            <w:r>
              <w:rPr>
                <w:sz w:val="18"/>
              </w:rPr>
              <w:t>1.933</w:t>
            </w:r>
          </w:p>
        </w:tc>
        <w:tc>
          <w:tcPr>
            <w:tcW w:type="dxa" w:w="665"/>
          </w:tcPr>
          <w:p>
            <w:pPr>
              <w:jc w:val="center"/>
            </w:pPr>
            <w:r>
              <w:rPr>
                <w:sz w:val="18"/>
              </w:rPr>
              <w:t>0.472</w:t>
            </w:r>
          </w:p>
        </w:tc>
        <w:tc>
          <w:tcPr>
            <w:tcW w:type="dxa" w:w="665"/>
          </w:tcPr>
          <w:p>
            <w:pPr>
              <w:jc w:val="center"/>
            </w:pPr>
            <w:r>
              <w:rPr>
                <w:sz w:val="18"/>
              </w:rPr>
              <w:t>2.667</w:t>
            </w:r>
          </w:p>
        </w:tc>
        <w:tc>
          <w:tcPr>
            <w:tcW w:type="dxa" w:w="665"/>
          </w:tcPr>
          <w:p>
            <w:pPr>
              <w:jc w:val="center"/>
            </w:pPr>
            <w:r>
              <w:rPr>
                <w:sz w:val="18"/>
              </w:rPr>
              <w:t>2.014</w:t>
            </w:r>
          </w:p>
        </w:tc>
        <w:tc>
          <w:tcPr>
            <w:tcW w:type="dxa" w:w="665"/>
          </w:tcPr>
          <w:p>
            <w:pPr>
              <w:jc w:val="center"/>
            </w:pPr>
            <w:r>
              <w:rPr>
                <w:sz w:val="18"/>
              </w:rPr>
              <w:t>0.57</w:t>
            </w:r>
          </w:p>
        </w:tc>
        <w:tc>
          <w:tcPr>
            <w:tcW w:type="dxa" w:w="665"/>
          </w:tcPr>
          <w:p>
            <w:pPr>
              <w:jc w:val="center"/>
            </w:pPr>
            <w:r>
              <w:rPr>
                <w:sz w:val="18"/>
              </w:rPr>
              <w:t>2.142</w:t>
            </w:r>
          </w:p>
        </w:tc>
        <w:tc>
          <w:tcPr>
            <w:tcW w:type="dxa" w:w="665"/>
          </w:tcPr>
          <w:p>
            <w:pPr>
              <w:jc w:val="center"/>
            </w:pPr>
            <w:r>
              <w:rPr>
                <w:sz w:val="18"/>
              </w:rPr>
              <w:t>1.474</w:t>
            </w:r>
          </w:p>
        </w:tc>
        <w:tc>
          <w:tcPr>
            <w:tcW w:type="dxa" w:w="665"/>
          </w:tcPr>
          <w:p>
            <w:pPr>
              <w:jc w:val="center"/>
            </w:pPr>
            <w:r>
              <w:rPr>
                <w:sz w:val="18"/>
              </w:rPr>
              <w:t>0.592</w:t>
            </w:r>
          </w:p>
        </w:tc>
      </w:tr>
      <w:tr>
        <w:tc>
          <w:tcPr>
            <w:tcW w:type="dxa" w:w="665"/>
          </w:tcPr>
          <w:p>
            <w:pPr>
              <w:jc w:val="center"/>
            </w:pPr>
            <w:r>
              <w:rPr>
                <w:sz w:val="18"/>
              </w:rPr>
              <w:t>SC</w:t>
            </w:r>
          </w:p>
        </w:tc>
        <w:tc>
          <w:tcPr>
            <w:tcW w:type="dxa" w:w="665"/>
          </w:tcPr>
          <w:p>
            <w:pPr>
              <w:jc w:val="center"/>
            </w:pPr>
            <w:r>
              <w:rPr>
                <w:sz w:val="18"/>
              </w:rPr>
              <w:t>5.369</w:t>
            </w:r>
          </w:p>
        </w:tc>
        <w:tc>
          <w:tcPr>
            <w:tcW w:type="dxa" w:w="665"/>
          </w:tcPr>
          <w:p>
            <w:pPr>
              <w:jc w:val="center"/>
            </w:pPr>
            <w:r>
              <w:rPr>
                <w:sz w:val="18"/>
              </w:rPr>
              <w:t>3.105</w:t>
            </w:r>
          </w:p>
        </w:tc>
        <w:tc>
          <w:tcPr>
            <w:tcW w:type="dxa" w:w="665"/>
          </w:tcPr>
          <w:p>
            <w:pPr>
              <w:jc w:val="center"/>
            </w:pPr>
            <w:r>
              <w:rPr>
                <w:sz w:val="18"/>
              </w:rPr>
              <w:t>0.634</w:t>
            </w:r>
          </w:p>
        </w:tc>
        <w:tc>
          <w:tcPr>
            <w:tcW w:type="dxa" w:w="665"/>
          </w:tcPr>
          <w:p>
            <w:pPr>
              <w:jc w:val="center"/>
            </w:pPr>
            <w:r>
              <w:rPr>
                <w:sz w:val="18"/>
              </w:rPr>
              <w:t>4.563</w:t>
            </w:r>
          </w:p>
        </w:tc>
        <w:tc>
          <w:tcPr>
            <w:tcW w:type="dxa" w:w="665"/>
          </w:tcPr>
          <w:p>
            <w:pPr>
              <w:jc w:val="center"/>
            </w:pPr>
            <w:r>
              <w:rPr>
                <w:sz w:val="18"/>
              </w:rPr>
              <w:t>2.389</w:t>
            </w:r>
          </w:p>
        </w:tc>
        <w:tc>
          <w:tcPr>
            <w:tcW w:type="dxa" w:w="665"/>
          </w:tcPr>
          <w:p>
            <w:pPr>
              <w:jc w:val="center"/>
            </w:pPr>
            <w:r>
              <w:rPr>
                <w:sz w:val="18"/>
              </w:rPr>
              <w:t>0.656</w:t>
            </w:r>
          </w:p>
        </w:tc>
        <w:tc>
          <w:tcPr>
            <w:tcW w:type="dxa" w:w="665"/>
          </w:tcPr>
          <w:p>
            <w:pPr>
              <w:jc w:val="center"/>
            </w:pPr>
            <w:r>
              <w:rPr>
                <w:sz w:val="18"/>
              </w:rPr>
              <w:t>3.368</w:t>
            </w:r>
          </w:p>
        </w:tc>
        <w:tc>
          <w:tcPr>
            <w:tcW w:type="dxa" w:w="665"/>
          </w:tcPr>
          <w:p>
            <w:pPr>
              <w:jc w:val="center"/>
            </w:pPr>
            <w:r>
              <w:rPr>
                <w:sz w:val="18"/>
              </w:rPr>
              <w:t>1.155</w:t>
            </w:r>
          </w:p>
        </w:tc>
        <w:tc>
          <w:tcPr>
            <w:tcW w:type="dxa" w:w="665"/>
          </w:tcPr>
          <w:p>
            <w:pPr>
              <w:jc w:val="center"/>
            </w:pPr>
            <w:r>
              <w:rPr>
                <w:sz w:val="18"/>
              </w:rPr>
              <w:t>0.745</w:t>
            </w:r>
          </w:p>
        </w:tc>
        <w:tc>
          <w:tcPr>
            <w:tcW w:type="dxa" w:w="665"/>
          </w:tcPr>
          <w:p>
            <w:pPr>
              <w:jc w:val="center"/>
            </w:pPr>
            <w:r>
              <w:rPr>
                <w:sz w:val="18"/>
              </w:rPr>
              <w:t>3.996</w:t>
            </w:r>
          </w:p>
        </w:tc>
        <w:tc>
          <w:tcPr>
            <w:tcW w:type="dxa" w:w="665"/>
          </w:tcPr>
          <w:p>
            <w:pPr>
              <w:jc w:val="center"/>
            </w:pPr>
            <w:r>
              <w:rPr>
                <w:sz w:val="18"/>
              </w:rPr>
              <w:t>1.576</w:t>
            </w:r>
          </w:p>
        </w:tc>
        <w:tc>
          <w:tcPr>
            <w:tcW w:type="dxa" w:w="665"/>
          </w:tcPr>
          <w:p>
            <w:pPr>
              <w:jc w:val="center"/>
            </w:pPr>
            <w:r>
              <w:rPr>
                <w:sz w:val="18"/>
              </w:rPr>
              <w:t>0.717</w:t>
            </w:r>
          </w:p>
        </w:tc>
      </w:tr>
      <w:tr>
        <w:tc>
          <w:tcPr>
            <w:tcW w:type="dxa" w:w="665"/>
          </w:tcPr>
          <w:p>
            <w:pPr>
              <w:jc w:val="center"/>
            </w:pPr>
            <w:r>
              <w:rPr>
                <w:sz w:val="18"/>
              </w:rPr>
              <w:t>PA</w:t>
            </w:r>
          </w:p>
        </w:tc>
        <w:tc>
          <w:tcPr>
            <w:tcW w:type="dxa" w:w="665"/>
          </w:tcPr>
          <w:p>
            <w:pPr>
              <w:jc w:val="center"/>
            </w:pPr>
            <w:r>
              <w:rPr>
                <w:sz w:val="18"/>
              </w:rPr>
              <w:t>2.555</w:t>
            </w:r>
          </w:p>
        </w:tc>
        <w:tc>
          <w:tcPr>
            <w:tcW w:type="dxa" w:w="665"/>
          </w:tcPr>
          <w:p>
            <w:pPr>
              <w:jc w:val="center"/>
            </w:pPr>
            <w:r>
              <w:rPr>
                <w:sz w:val="18"/>
              </w:rPr>
              <w:t>2.165</w:t>
            </w:r>
          </w:p>
        </w:tc>
        <w:tc>
          <w:tcPr>
            <w:tcW w:type="dxa" w:w="665"/>
          </w:tcPr>
          <w:p>
            <w:pPr>
              <w:jc w:val="center"/>
            </w:pPr>
            <w:r>
              <w:rPr>
                <w:sz w:val="18"/>
              </w:rPr>
              <w:t>0.541</w:t>
            </w:r>
          </w:p>
        </w:tc>
        <w:tc>
          <w:tcPr>
            <w:tcW w:type="dxa" w:w="665"/>
          </w:tcPr>
          <w:p>
            <w:pPr>
              <w:jc w:val="center"/>
            </w:pPr>
            <w:r>
              <w:rPr>
                <w:sz w:val="18"/>
              </w:rPr>
              <w:t>4.007</w:t>
            </w:r>
          </w:p>
        </w:tc>
        <w:tc>
          <w:tcPr>
            <w:tcW w:type="dxa" w:w="665"/>
          </w:tcPr>
          <w:p>
            <w:pPr>
              <w:jc w:val="center"/>
            </w:pPr>
            <w:r>
              <w:rPr>
                <w:sz w:val="18"/>
              </w:rPr>
              <w:t>2.791</w:t>
            </w:r>
          </w:p>
        </w:tc>
        <w:tc>
          <w:tcPr>
            <w:tcW w:type="dxa" w:w="665"/>
          </w:tcPr>
          <w:p>
            <w:pPr>
              <w:jc w:val="center"/>
            </w:pPr>
            <w:r>
              <w:rPr>
                <w:sz w:val="18"/>
              </w:rPr>
              <w:t>0.589</w:t>
            </w:r>
          </w:p>
        </w:tc>
        <w:tc>
          <w:tcPr>
            <w:tcW w:type="dxa" w:w="665"/>
          </w:tcPr>
          <w:p>
            <w:pPr>
              <w:jc w:val="center"/>
            </w:pPr>
            <w:r>
              <w:rPr>
                <w:sz w:val="18"/>
              </w:rPr>
              <w:t>3.575</w:t>
            </w:r>
          </w:p>
        </w:tc>
        <w:tc>
          <w:tcPr>
            <w:tcW w:type="dxa" w:w="665"/>
          </w:tcPr>
          <w:p>
            <w:pPr>
              <w:jc w:val="center"/>
            </w:pPr>
            <w:r>
              <w:rPr>
                <w:sz w:val="18"/>
              </w:rPr>
              <w:t>1.85</w:t>
            </w:r>
          </w:p>
        </w:tc>
        <w:tc>
          <w:tcPr>
            <w:tcW w:type="dxa" w:w="665"/>
          </w:tcPr>
          <w:p>
            <w:pPr>
              <w:jc w:val="center"/>
            </w:pPr>
            <w:r>
              <w:rPr>
                <w:sz w:val="18"/>
              </w:rPr>
              <w:t>0.659</w:t>
            </w:r>
          </w:p>
        </w:tc>
        <w:tc>
          <w:tcPr>
            <w:tcW w:type="dxa" w:w="665"/>
          </w:tcPr>
          <w:p>
            <w:pPr>
              <w:jc w:val="center"/>
            </w:pPr>
            <w:r>
              <w:rPr>
                <w:sz w:val="18"/>
              </w:rPr>
              <w:t>2.762</w:t>
            </w:r>
          </w:p>
        </w:tc>
        <w:tc>
          <w:tcPr>
            <w:tcW w:type="dxa" w:w="665"/>
          </w:tcPr>
          <w:p>
            <w:pPr>
              <w:jc w:val="center"/>
            </w:pPr>
            <w:r>
              <w:rPr>
                <w:sz w:val="18"/>
              </w:rPr>
              <w:t>1.428</w:t>
            </w:r>
          </w:p>
        </w:tc>
        <w:tc>
          <w:tcPr>
            <w:tcW w:type="dxa" w:w="665"/>
          </w:tcPr>
          <w:p>
            <w:pPr>
              <w:jc w:val="center"/>
            </w:pPr>
            <w:r>
              <w:rPr>
                <w:sz w:val="18"/>
              </w:rPr>
              <w:t>0.659</w:t>
            </w:r>
          </w:p>
        </w:tc>
      </w:tr>
    </w:tbl>
    <w:p/>
    <w:p>
      <w:r>
        <w:t>Key differences: Owner/Renter CP and SP means are notably higher than old MG/NMG means (~0.62 vs ~0.55 for CP; ~0.58 vs ~0.46 for SP). This is partly because the old MG values were computed from incorrect data (NMG formulas). SC shows much higher values in the new split (0.72–0.74 vs 0.63–0.66), likely reflecting the correct computation from raw data.</w:t>
      </w:r>
    </w:p>
    <w:p>
      <w:pPr>
        <w:pStyle w:val="Heading1"/>
      </w:pPr>
      <w:r>
        <w:rPr>
          <w:color w:val="1A237E"/>
        </w:rPr>
        <w:t>4. Action Adoption Rates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Group</w:t>
            </w:r>
          </w:p>
        </w:tc>
        <w:tc>
          <w:tcPr>
            <w:tcW w:type="dxa" w:w="1234"/>
          </w:tcPr>
          <w:p>
            <w:pPr>
              <w:jc w:val="center"/>
            </w:pPr>
            <w:r>
              <w:rPr>
                <w:b/>
                <w:sz w:val="18"/>
              </w:rPr>
              <w:t>Action</w:t>
            </w:r>
          </w:p>
        </w:tc>
        <w:tc>
          <w:tcPr>
            <w:tcW w:type="dxa" w:w="1234"/>
          </w:tcPr>
          <w:p>
            <w:pPr>
              <w:jc w:val="center"/>
            </w:pPr>
            <w:r>
              <w:rPr>
                <w:b/>
                <w:sz w:val="18"/>
              </w:rPr>
              <w:t>n_total</w:t>
            </w:r>
          </w:p>
        </w:tc>
        <w:tc>
          <w:tcPr>
            <w:tcW w:type="dxa" w:w="1234"/>
          </w:tcPr>
          <w:p>
            <w:pPr>
              <w:jc w:val="center"/>
            </w:pPr>
            <w:r>
              <w:rPr>
                <w:b/>
                <w:sz w:val="18"/>
              </w:rPr>
              <w:t>n_respond</w:t>
            </w:r>
          </w:p>
        </w:tc>
        <w:tc>
          <w:tcPr>
            <w:tcW w:type="dxa" w:w="1234"/>
          </w:tcPr>
          <w:p>
            <w:pPr>
              <w:jc w:val="center"/>
            </w:pPr>
            <w:r>
              <w:rPr>
                <w:b/>
                <w:sz w:val="18"/>
              </w:rPr>
              <w:t>response_rate</w:t>
            </w:r>
          </w:p>
        </w:tc>
        <w:tc>
          <w:tcPr>
            <w:tcW w:type="dxa" w:w="1234"/>
          </w:tcPr>
          <w:p>
            <w:pPr>
              <w:jc w:val="center"/>
            </w:pPr>
            <w:r>
              <w:rPr>
                <w:b/>
                <w:sz w:val="18"/>
              </w:rPr>
              <w:t>mean_likert</w:t>
            </w:r>
          </w:p>
        </w:tc>
        <w:tc>
          <w:tcPr>
            <w:tcW w:type="dxa" w:w="1234"/>
          </w:tcPr>
          <w:p>
            <w:pPr>
              <w:jc w:val="center"/>
            </w:pPr>
            <w:r>
              <w:rPr>
                <w:b/>
                <w:sz w:val="18"/>
              </w:rPr>
              <w:t>std_likert</w:t>
            </w:r>
          </w:p>
        </w:tc>
      </w:tr>
      <w:tr>
        <w:tc>
          <w:tcPr>
            <w:tcW w:type="dxa" w:w="1234"/>
          </w:tcPr>
          <w:p>
            <w:pPr>
              <w:jc w:val="center"/>
            </w:pPr>
            <w:r>
              <w:rPr>
                <w:sz w:val="18"/>
              </w:rPr>
              <w:t>owner</w:t>
            </w:r>
          </w:p>
        </w:tc>
        <w:tc>
          <w:tcPr>
            <w:tcW w:type="dxa" w:w="1234"/>
          </w:tcPr>
          <w:p>
            <w:pPr>
              <w:jc w:val="center"/>
            </w:pPr>
            <w:r>
              <w:rPr>
                <w:sz w:val="18"/>
              </w:rPr>
              <w:t>FI</w:t>
            </w:r>
          </w:p>
        </w:tc>
        <w:tc>
          <w:tcPr>
            <w:tcW w:type="dxa" w:w="1234"/>
          </w:tcPr>
          <w:p>
            <w:pPr>
              <w:jc w:val="center"/>
            </w:pPr>
            <w:r>
              <w:rPr>
                <w:sz w:val="18"/>
              </w:rPr>
              <w:t>694</w:t>
            </w:r>
          </w:p>
        </w:tc>
        <w:tc>
          <w:tcPr>
            <w:tcW w:type="dxa" w:w="1234"/>
          </w:tcPr>
          <w:p>
            <w:pPr>
              <w:jc w:val="center"/>
            </w:pPr>
            <w:r>
              <w:rPr>
                <w:sz w:val="18"/>
              </w:rPr>
              <w:t>694</w:t>
            </w:r>
          </w:p>
        </w:tc>
        <w:tc>
          <w:tcPr>
            <w:tcW w:type="dxa" w:w="1234"/>
          </w:tcPr>
          <w:p>
            <w:pPr>
              <w:jc w:val="center"/>
            </w:pPr>
            <w:r>
              <w:rPr>
                <w:sz w:val="18"/>
              </w:rPr>
              <w:t>1.0</w:t>
            </w:r>
          </w:p>
        </w:tc>
        <w:tc>
          <w:tcPr>
            <w:tcW w:type="dxa" w:w="1234"/>
          </w:tcPr>
          <w:p>
            <w:pPr>
              <w:jc w:val="center"/>
            </w:pPr>
            <w:r>
              <w:rPr>
                <w:sz w:val="18"/>
              </w:rPr>
              <w:t>2.916</w:t>
            </w:r>
          </w:p>
        </w:tc>
        <w:tc>
          <w:tcPr>
            <w:tcW w:type="dxa" w:w="1234"/>
          </w:tcPr>
          <w:p>
            <w:pPr>
              <w:jc w:val="center"/>
            </w:pPr>
            <w:r>
              <w:rPr>
                <w:sz w:val="18"/>
              </w:rPr>
              <w:t>1.131</w:t>
            </w:r>
          </w:p>
        </w:tc>
      </w:tr>
      <w:tr>
        <w:tc>
          <w:tcPr>
            <w:tcW w:type="dxa" w:w="1234"/>
          </w:tcPr>
          <w:p>
            <w:pPr>
              <w:jc w:val="center"/>
            </w:pPr>
            <w:r>
              <w:rPr>
                <w:sz w:val="18"/>
              </w:rPr>
              <w:t>owner</w:t>
            </w:r>
          </w:p>
        </w:tc>
        <w:tc>
          <w:tcPr>
            <w:tcW w:type="dxa" w:w="1234"/>
          </w:tcPr>
          <w:p>
            <w:pPr>
              <w:jc w:val="center"/>
            </w:pPr>
            <w:r>
              <w:rPr>
                <w:sz w:val="18"/>
              </w:rPr>
              <w:t>EH</w:t>
            </w:r>
          </w:p>
        </w:tc>
        <w:tc>
          <w:tcPr>
            <w:tcW w:type="dxa" w:w="1234"/>
          </w:tcPr>
          <w:p>
            <w:pPr>
              <w:jc w:val="center"/>
            </w:pPr>
            <w:r>
              <w:rPr>
                <w:sz w:val="18"/>
              </w:rPr>
              <w:t>694</w:t>
            </w:r>
          </w:p>
        </w:tc>
        <w:tc>
          <w:tcPr>
            <w:tcW w:type="dxa" w:w="1234"/>
          </w:tcPr>
          <w:p>
            <w:pPr>
              <w:jc w:val="center"/>
            </w:pPr>
            <w:r>
              <w:rPr>
                <w:sz w:val="18"/>
              </w:rPr>
              <w:t>432</w:t>
            </w:r>
          </w:p>
        </w:tc>
        <w:tc>
          <w:tcPr>
            <w:tcW w:type="dxa" w:w="1234"/>
          </w:tcPr>
          <w:p>
            <w:pPr>
              <w:jc w:val="center"/>
            </w:pPr>
            <w:r>
              <w:rPr>
                <w:sz w:val="18"/>
              </w:rPr>
              <w:t>0.6225</w:t>
            </w:r>
          </w:p>
        </w:tc>
        <w:tc>
          <w:tcPr>
            <w:tcW w:type="dxa" w:w="1234"/>
          </w:tcPr>
          <w:p>
            <w:pPr>
              <w:jc w:val="center"/>
            </w:pPr>
            <w:r>
              <w:rPr>
                <w:sz w:val="18"/>
              </w:rPr>
              <w:t>2.586</w:t>
            </w:r>
          </w:p>
        </w:tc>
        <w:tc>
          <w:tcPr>
            <w:tcW w:type="dxa" w:w="1234"/>
          </w:tcPr>
          <w:p>
            <w:pPr>
              <w:jc w:val="center"/>
            </w:pPr>
            <w:r>
              <w:rPr>
                <w:sz w:val="18"/>
              </w:rPr>
              <w:t>1.179</w:t>
            </w:r>
          </w:p>
        </w:tc>
      </w:tr>
      <w:tr>
        <w:tc>
          <w:tcPr>
            <w:tcW w:type="dxa" w:w="1234"/>
          </w:tcPr>
          <w:p>
            <w:pPr>
              <w:jc w:val="center"/>
            </w:pPr>
            <w:r>
              <w:rPr>
                <w:sz w:val="18"/>
              </w:rPr>
              <w:t>owner</w:t>
            </w:r>
          </w:p>
        </w:tc>
        <w:tc>
          <w:tcPr>
            <w:tcW w:type="dxa" w:w="1234"/>
          </w:tcPr>
          <w:p>
            <w:pPr>
              <w:jc w:val="center"/>
            </w:pPr>
            <w:r>
              <w:rPr>
                <w:sz w:val="18"/>
              </w:rPr>
              <w:t>BP</w:t>
            </w:r>
          </w:p>
        </w:tc>
        <w:tc>
          <w:tcPr>
            <w:tcW w:type="dxa" w:w="1234"/>
          </w:tcPr>
          <w:p>
            <w:pPr>
              <w:jc w:val="center"/>
            </w:pPr>
            <w:r>
              <w:rPr>
                <w:sz w:val="18"/>
              </w:rPr>
              <w:t>694</w:t>
            </w:r>
          </w:p>
        </w:tc>
        <w:tc>
          <w:tcPr>
            <w:tcW w:type="dxa" w:w="1234"/>
          </w:tcPr>
          <w:p>
            <w:pPr>
              <w:jc w:val="center"/>
            </w:pPr>
            <w:r>
              <w:rPr>
                <w:sz w:val="18"/>
              </w:rPr>
              <w:t>432</w:t>
            </w:r>
          </w:p>
        </w:tc>
        <w:tc>
          <w:tcPr>
            <w:tcW w:type="dxa" w:w="1234"/>
          </w:tcPr>
          <w:p>
            <w:pPr>
              <w:jc w:val="center"/>
            </w:pPr>
            <w:r>
              <w:rPr>
                <w:sz w:val="18"/>
              </w:rPr>
              <w:t>0.6225</w:t>
            </w:r>
          </w:p>
        </w:tc>
        <w:tc>
          <w:tcPr>
            <w:tcW w:type="dxa" w:w="1234"/>
          </w:tcPr>
          <w:p>
            <w:pPr>
              <w:jc w:val="center"/>
            </w:pPr>
            <w:r>
              <w:rPr>
                <w:sz w:val="18"/>
              </w:rPr>
              <w:t>2.604</w:t>
            </w:r>
          </w:p>
        </w:tc>
        <w:tc>
          <w:tcPr>
            <w:tcW w:type="dxa" w:w="1234"/>
          </w:tcPr>
          <w:p>
            <w:pPr>
              <w:jc w:val="center"/>
            </w:pPr>
            <w:r>
              <w:rPr>
                <w:sz w:val="18"/>
              </w:rPr>
              <w:t>1.098</w:t>
            </w:r>
          </w:p>
        </w:tc>
      </w:tr>
      <w:tr>
        <w:tc>
          <w:tcPr>
            <w:tcW w:type="dxa" w:w="1234"/>
          </w:tcPr>
          <w:p>
            <w:pPr>
              <w:jc w:val="center"/>
            </w:pPr>
            <w:r>
              <w:rPr>
                <w:sz w:val="18"/>
              </w:rPr>
              <w:t>owner</w:t>
            </w:r>
          </w:p>
        </w:tc>
        <w:tc>
          <w:tcPr>
            <w:tcW w:type="dxa" w:w="1234"/>
          </w:tcPr>
          <w:p>
            <w:pPr>
              <w:jc w:val="center"/>
            </w:pPr>
            <w:r>
              <w:rPr>
                <w:sz w:val="18"/>
              </w:rPr>
              <w:t>RL</w:t>
            </w:r>
          </w:p>
        </w:tc>
        <w:tc>
          <w:tcPr>
            <w:tcW w:type="dxa" w:w="1234"/>
          </w:tcPr>
          <w:p>
            <w:pPr>
              <w:jc w:val="center"/>
            </w:pPr>
            <w:r>
              <w:rPr>
                <w:sz w:val="18"/>
              </w:rPr>
              <w:t>694</w:t>
            </w:r>
          </w:p>
        </w:tc>
        <w:tc>
          <w:tcPr>
            <w:tcW w:type="dxa" w:w="1234"/>
          </w:tcPr>
          <w:p>
            <w:pPr>
              <w:jc w:val="center"/>
            </w:pPr>
            <w:r>
              <w:rPr>
                <w:sz w:val="18"/>
              </w:rPr>
              <w:t>242</w:t>
            </w:r>
          </w:p>
        </w:tc>
        <w:tc>
          <w:tcPr>
            <w:tcW w:type="dxa" w:w="1234"/>
          </w:tcPr>
          <w:p>
            <w:pPr>
              <w:jc w:val="center"/>
            </w:pPr>
            <w:r>
              <w:rPr>
                <w:sz w:val="18"/>
              </w:rPr>
              <w:t>0.3487</w:t>
            </w:r>
          </w:p>
        </w:tc>
        <w:tc>
          <w:tcPr>
            <w:tcW w:type="dxa" w:w="1234"/>
          </w:tcPr>
          <w:p>
            <w:pPr>
              <w:jc w:val="center"/>
            </w:pPr>
            <w:r>
              <w:rPr>
                <w:sz w:val="18"/>
              </w:rPr>
              <w:t>3.12</w:t>
            </w:r>
          </w:p>
        </w:tc>
        <w:tc>
          <w:tcPr>
            <w:tcW w:type="dxa" w:w="1234"/>
          </w:tcPr>
          <w:p>
            <w:pPr>
              <w:jc w:val="center"/>
            </w:pPr>
            <w:r>
              <w:rPr>
                <w:sz w:val="18"/>
              </w:rPr>
              <w:t>1.13</w:t>
            </w:r>
          </w:p>
        </w:tc>
      </w:tr>
      <w:tr>
        <w:tc>
          <w:tcPr>
            <w:tcW w:type="dxa" w:w="1234"/>
          </w:tcPr>
          <w:p>
            <w:pPr>
              <w:jc w:val="center"/>
            </w:pPr>
            <w:r>
              <w:rPr>
                <w:sz w:val="18"/>
              </w:rPr>
              <w:t>renter</w:t>
            </w:r>
          </w:p>
        </w:tc>
        <w:tc>
          <w:tcPr>
            <w:tcW w:type="dxa" w:w="1234"/>
          </w:tcPr>
          <w:p>
            <w:pPr>
              <w:jc w:val="center"/>
            </w:pPr>
            <w:r>
              <w:rPr>
                <w:sz w:val="18"/>
              </w:rPr>
              <w:t>FI</w:t>
            </w:r>
          </w:p>
        </w:tc>
        <w:tc>
          <w:tcPr>
            <w:tcW w:type="dxa" w:w="1234"/>
          </w:tcPr>
          <w:p>
            <w:pPr>
              <w:jc w:val="center"/>
            </w:pPr>
            <w:r>
              <w:rPr>
                <w:sz w:val="18"/>
              </w:rPr>
              <w:t>243</w:t>
            </w:r>
          </w:p>
        </w:tc>
        <w:tc>
          <w:tcPr>
            <w:tcW w:type="dxa" w:w="1234"/>
          </w:tcPr>
          <w:p>
            <w:pPr>
              <w:jc w:val="center"/>
            </w:pPr>
            <w:r>
              <w:rPr>
                <w:sz w:val="18"/>
              </w:rPr>
              <w:t>243</w:t>
            </w:r>
          </w:p>
        </w:tc>
        <w:tc>
          <w:tcPr>
            <w:tcW w:type="dxa" w:w="1234"/>
          </w:tcPr>
          <w:p>
            <w:pPr>
              <w:jc w:val="center"/>
            </w:pPr>
            <w:r>
              <w:rPr>
                <w:sz w:val="18"/>
              </w:rPr>
              <w:t>1.0</w:t>
            </w:r>
          </w:p>
        </w:tc>
        <w:tc>
          <w:tcPr>
            <w:tcW w:type="dxa" w:w="1234"/>
          </w:tcPr>
          <w:p>
            <w:pPr>
              <w:jc w:val="center"/>
            </w:pPr>
            <w:r>
              <w:rPr>
                <w:sz w:val="18"/>
              </w:rPr>
              <w:t>3.012</w:t>
            </w:r>
          </w:p>
        </w:tc>
        <w:tc>
          <w:tcPr>
            <w:tcW w:type="dxa" w:w="1234"/>
          </w:tcPr>
          <w:p>
            <w:pPr>
              <w:jc w:val="center"/>
            </w:pPr>
            <w:r>
              <w:rPr>
                <w:sz w:val="18"/>
              </w:rPr>
              <w:t>1.176</w:t>
            </w:r>
          </w:p>
        </w:tc>
      </w:tr>
      <w:tr>
        <w:tc>
          <w:tcPr>
            <w:tcW w:type="dxa" w:w="1234"/>
          </w:tcPr>
          <w:p>
            <w:pPr>
              <w:jc w:val="center"/>
            </w:pPr>
            <w:r>
              <w:rPr>
                <w:sz w:val="18"/>
              </w:rPr>
              <w:t>renter</w:t>
            </w:r>
          </w:p>
        </w:tc>
        <w:tc>
          <w:tcPr>
            <w:tcW w:type="dxa" w:w="1234"/>
          </w:tcPr>
          <w:p>
            <w:pPr>
              <w:jc w:val="center"/>
            </w:pPr>
            <w:r>
              <w:rPr>
                <w:sz w:val="18"/>
              </w:rPr>
              <w:t>EH</w:t>
            </w:r>
          </w:p>
        </w:tc>
        <w:tc>
          <w:tcPr>
            <w:tcW w:type="dxa" w:w="1234"/>
          </w:tcPr>
          <w:p>
            <w:pPr>
              <w:jc w:val="center"/>
            </w:pPr>
            <w:r>
              <w:rPr>
                <w:sz w:val="18"/>
              </w:rPr>
              <w:t>243</w:t>
            </w:r>
          </w:p>
        </w:tc>
        <w:tc>
          <w:tcPr>
            <w:tcW w:type="dxa" w:w="1234"/>
          </w:tcPr>
          <w:p>
            <w:pPr>
              <w:jc w:val="center"/>
            </w:pPr>
            <w:r>
              <w:rPr>
                <w:sz w:val="18"/>
              </w:rPr>
              <w:t>125</w:t>
            </w:r>
          </w:p>
        </w:tc>
        <w:tc>
          <w:tcPr>
            <w:tcW w:type="dxa" w:w="1234"/>
          </w:tcPr>
          <w:p>
            <w:pPr>
              <w:jc w:val="center"/>
            </w:pPr>
            <w:r>
              <w:rPr>
                <w:sz w:val="18"/>
              </w:rPr>
              <w:t>0.5144</w:t>
            </w:r>
          </w:p>
        </w:tc>
        <w:tc>
          <w:tcPr>
            <w:tcW w:type="dxa" w:w="1234"/>
          </w:tcPr>
          <w:p>
            <w:pPr>
              <w:jc w:val="center"/>
            </w:pPr>
            <w:r>
              <w:rPr>
                <w:sz w:val="18"/>
              </w:rPr>
              <w:t>2.752</w:t>
            </w:r>
          </w:p>
        </w:tc>
        <w:tc>
          <w:tcPr>
            <w:tcW w:type="dxa" w:w="1234"/>
          </w:tcPr>
          <w:p>
            <w:pPr>
              <w:jc w:val="center"/>
            </w:pPr>
            <w:r>
              <w:rPr>
                <w:sz w:val="18"/>
              </w:rPr>
              <w:t>1.196</w:t>
            </w:r>
          </w:p>
        </w:tc>
      </w:tr>
      <w:tr>
        <w:tc>
          <w:tcPr>
            <w:tcW w:type="dxa" w:w="1234"/>
          </w:tcPr>
          <w:p>
            <w:pPr>
              <w:jc w:val="center"/>
            </w:pPr>
            <w:r>
              <w:rPr>
                <w:sz w:val="18"/>
              </w:rPr>
              <w:t>renter</w:t>
            </w:r>
          </w:p>
        </w:tc>
        <w:tc>
          <w:tcPr>
            <w:tcW w:type="dxa" w:w="1234"/>
          </w:tcPr>
          <w:p>
            <w:pPr>
              <w:jc w:val="center"/>
            </w:pPr>
            <w:r>
              <w:rPr>
                <w:sz w:val="18"/>
              </w:rPr>
              <w:t>BP</w:t>
            </w:r>
          </w:p>
        </w:tc>
        <w:tc>
          <w:tcPr>
            <w:tcW w:type="dxa" w:w="1234"/>
          </w:tcPr>
          <w:p>
            <w:pPr>
              <w:jc w:val="center"/>
            </w:pPr>
            <w:r>
              <w:rPr>
                <w:sz w:val="18"/>
              </w:rPr>
              <w:t>243</w:t>
            </w:r>
          </w:p>
        </w:tc>
        <w:tc>
          <w:tcPr>
            <w:tcW w:type="dxa" w:w="1234"/>
          </w:tcPr>
          <w:p>
            <w:pPr>
              <w:jc w:val="center"/>
            </w:pPr>
            <w:r>
              <w:rPr>
                <w:sz w:val="18"/>
              </w:rPr>
              <w:t>125</w:t>
            </w:r>
          </w:p>
        </w:tc>
        <w:tc>
          <w:tcPr>
            <w:tcW w:type="dxa" w:w="1234"/>
          </w:tcPr>
          <w:p>
            <w:pPr>
              <w:jc w:val="center"/>
            </w:pPr>
            <w:r>
              <w:rPr>
                <w:sz w:val="18"/>
              </w:rPr>
              <w:t>0.5144</w:t>
            </w:r>
          </w:p>
        </w:tc>
        <w:tc>
          <w:tcPr>
            <w:tcW w:type="dxa" w:w="1234"/>
          </w:tcPr>
          <w:p>
            <w:pPr>
              <w:jc w:val="center"/>
            </w:pPr>
            <w:r>
              <w:rPr>
                <w:sz w:val="18"/>
              </w:rPr>
              <w:t>2.784</w:t>
            </w:r>
          </w:p>
        </w:tc>
        <w:tc>
          <w:tcPr>
            <w:tcW w:type="dxa" w:w="1234"/>
          </w:tcPr>
          <w:p>
            <w:pPr>
              <w:jc w:val="center"/>
            </w:pPr>
            <w:r>
              <w:rPr>
                <w:sz w:val="18"/>
              </w:rPr>
              <w:t>1.182</w:t>
            </w:r>
          </w:p>
        </w:tc>
      </w:tr>
      <w:tr>
        <w:tc>
          <w:tcPr>
            <w:tcW w:type="dxa" w:w="1234"/>
          </w:tcPr>
          <w:p>
            <w:pPr>
              <w:jc w:val="center"/>
            </w:pPr>
            <w:r>
              <w:rPr>
                <w:sz w:val="18"/>
              </w:rPr>
              <w:t>renter</w:t>
            </w:r>
          </w:p>
        </w:tc>
        <w:tc>
          <w:tcPr>
            <w:tcW w:type="dxa" w:w="1234"/>
          </w:tcPr>
          <w:p>
            <w:pPr>
              <w:jc w:val="center"/>
            </w:pPr>
            <w:r>
              <w:rPr>
                <w:sz w:val="18"/>
              </w:rPr>
              <w:t>RL</w:t>
            </w:r>
          </w:p>
        </w:tc>
        <w:tc>
          <w:tcPr>
            <w:tcW w:type="dxa" w:w="1234"/>
          </w:tcPr>
          <w:p>
            <w:pPr>
              <w:jc w:val="center"/>
            </w:pPr>
            <w:r>
              <w:rPr>
                <w:sz w:val="18"/>
              </w:rPr>
              <w:t>243</w:t>
            </w:r>
          </w:p>
        </w:tc>
        <w:tc>
          <w:tcPr>
            <w:tcW w:type="dxa" w:w="1234"/>
          </w:tcPr>
          <w:p>
            <w:pPr>
              <w:jc w:val="center"/>
            </w:pPr>
            <w:r>
              <w:rPr>
                <w:sz w:val="18"/>
              </w:rPr>
              <w:t>112</w:t>
            </w:r>
          </w:p>
        </w:tc>
        <w:tc>
          <w:tcPr>
            <w:tcW w:type="dxa" w:w="1234"/>
          </w:tcPr>
          <w:p>
            <w:pPr>
              <w:jc w:val="center"/>
            </w:pPr>
            <w:r>
              <w:rPr>
                <w:sz w:val="18"/>
              </w:rPr>
              <w:t>0.4609</w:t>
            </w:r>
          </w:p>
        </w:tc>
        <w:tc>
          <w:tcPr>
            <w:tcW w:type="dxa" w:w="1234"/>
          </w:tcPr>
          <w:p>
            <w:pPr>
              <w:jc w:val="center"/>
            </w:pPr>
            <w:r>
              <w:rPr>
                <w:sz w:val="18"/>
              </w:rPr>
              <w:t>3.134</w:t>
            </w:r>
          </w:p>
        </w:tc>
        <w:tc>
          <w:tcPr>
            <w:tcW w:type="dxa" w:w="1234"/>
          </w:tcPr>
          <w:p>
            <w:pPr>
              <w:jc w:val="center"/>
            </w:pPr>
            <w:r>
              <w:rPr>
                <w:sz w:val="18"/>
              </w:rPr>
              <w:t>1.135</w:t>
            </w:r>
          </w:p>
        </w:tc>
      </w:tr>
    </w:tbl>
    <w:p/>
    <w:p>
      <w:pPr>
        <w:pStyle w:val="Heading2"/>
      </w:pPr>
      <w:r>
        <w:rPr>
          <w:color w:val="1A237E"/>
        </w:rPr>
        <w:t>4.1 Key Observations</w:t>
      </w:r>
    </w:p>
    <w:p>
      <w:r>
        <w:t>• FI (Flood Insurance): 100% response rate for both groups. Renters have slightly higher mean intention (3.01 vs 2.92).</w:t>
        <w:br/>
        <w:t>• EH (Elevation/Hardening): Owners respond more (62.2% vs 51.4%), but renters who do respond show slightly higher intensity (2.75 vs 2.59). This makes sense — owners have more agency over structural modifications.</w:t>
        <w:br/>
        <w:t>• BP (Building Protection): Same pattern as EH — owners respond more but renters show slightly higher intensity.</w:t>
        <w:br/>
        <w:t>• RL (Relocation): Renters respond significantly more (46.1% vs 34.9%) with similar mean intensity (~3.13). This aligns with theory — renters have lower relocation barriers.</w:t>
        <w:br/>
        <w:br/>
        <w:t>Discussion point: In the original model, EH and BP were owner-only actions, and RL was available to all but emphasized for MG. In the new owner/renter framework, we should discuss whether EH/BP should still be available to renters (who may influence landlord decisions) or restricted to owners only.</w:t>
      </w:r>
    </w:p>
    <w:p>
      <w:pPr>
        <w:pStyle w:val="Heading1"/>
      </w:pPr>
      <w:r>
        <w:rPr>
          <w:color w:val="1A237E"/>
        </w:rPr>
        <w:t>5. Distribution Plots</w:t>
      </w:r>
    </w:p>
    <w:p>
      <w:pPr>
        <w:pStyle w:val="Heading2"/>
      </w:pPr>
      <w:r>
        <w:rPr>
          <w:color w:val="1A237E"/>
        </w:rPr>
        <w:t>5.1 Overlay Comparison (Owner vs Renter)</w:t>
      </w:r>
    </w:p>
    <w:p>
      <w:pPr>
        <w:jc w:val="center"/>
      </w:pPr>
      <w:r>
        <w:drawing>
          <wp:inline xmlns:a="http://schemas.openxmlformats.org/drawingml/2006/main" xmlns:pic="http://schemas.openxmlformats.org/drawingml/2006/picture">
            <wp:extent cx="5943600" cy="1210432"/>
            <wp:docPr id="1" name="Picture 1"/>
            <wp:cNvGraphicFramePr>
              <a:graphicFrameLocks noChangeAspect="1"/>
            </wp:cNvGraphicFramePr>
            <a:graphic>
              <a:graphicData uri="http://schemas.openxmlformats.org/drawingml/2006/picture">
                <pic:pic>
                  <pic:nvPicPr>
                    <pic:cNvPr id="0" name="overlay_comparison.png"/>
                    <pic:cNvPicPr/>
                  </pic:nvPicPr>
                  <pic:blipFill>
                    <a:blip r:embed="rId9"/>
                    <a:stretch>
                      <a:fillRect/>
                    </a:stretch>
                  </pic:blipFill>
                  <pic:spPr>
                    <a:xfrm>
                      <a:off x="0" y="0"/>
                      <a:ext cx="5943600" cy="1210432"/>
                    </a:xfrm>
                    <a:prstGeom prst="rect"/>
                  </pic:spPr>
                </pic:pic>
              </a:graphicData>
            </a:graphic>
          </wp:inline>
        </w:drawing>
      </w:r>
    </w:p>
    <w:p>
      <w:pPr>
        <w:pStyle w:val="Heading2"/>
      </w:pPr>
      <w:r>
        <w:rPr>
          <w:color w:val="1A237E"/>
        </w:rPr>
        <w:t>5.2 Beta Fits with Histograms</w:t>
      </w:r>
    </w:p>
    <w:p>
      <w:pPr>
        <w:jc w:val="center"/>
      </w:pPr>
      <w:r>
        <w:drawing>
          <wp:inline xmlns:a="http://schemas.openxmlformats.org/drawingml/2006/main" xmlns:pic="http://schemas.openxmlformats.org/drawingml/2006/picture">
            <wp:extent cx="5486400" cy="8788108"/>
            <wp:docPr id="2" name="Picture 2"/>
            <wp:cNvGraphicFramePr>
              <a:graphicFrameLocks noChangeAspect="1"/>
            </wp:cNvGraphicFramePr>
            <a:graphic>
              <a:graphicData uri="http://schemas.openxmlformats.org/drawingml/2006/picture">
                <pic:pic>
                  <pic:nvPicPr>
                    <pic:cNvPr id="0" name="beta_distributions_owner_renter.png"/>
                    <pic:cNvPicPr/>
                  </pic:nvPicPr>
                  <pic:blipFill>
                    <a:blip r:embed="rId10"/>
                    <a:stretch>
                      <a:fillRect/>
                    </a:stretch>
                  </pic:blipFill>
                  <pic:spPr>
                    <a:xfrm>
                      <a:off x="0" y="0"/>
                      <a:ext cx="5486400" cy="8788108"/>
                    </a:xfrm>
                    <a:prstGeom prst="rect"/>
                  </pic:spPr>
                </pic:pic>
              </a:graphicData>
            </a:graphic>
          </wp:inline>
        </w:drawing>
      </w:r>
    </w:p>
    <w:p>
      <w:pPr>
        <w:pStyle w:val="Heading2"/>
      </w:pPr>
      <w:r>
        <w:rPr>
          <w:color w:val="1A237E"/>
        </w:rPr>
        <w:t>5.3 Action Response Rates</w:t>
      </w:r>
    </w:p>
    <w:p>
      <w:pPr>
        <w:jc w:val="center"/>
      </w:pPr>
      <w:r>
        <w:drawing>
          <wp:inline xmlns:a="http://schemas.openxmlformats.org/drawingml/2006/main" xmlns:pic="http://schemas.openxmlformats.org/drawingml/2006/picture">
            <wp:extent cx="5029200" cy="2994117"/>
            <wp:docPr id="3" name="Picture 3"/>
            <wp:cNvGraphicFramePr>
              <a:graphicFrameLocks noChangeAspect="1"/>
            </wp:cNvGraphicFramePr>
            <a:graphic>
              <a:graphicData uri="http://schemas.openxmlformats.org/drawingml/2006/picture">
                <pic:pic>
                  <pic:nvPicPr>
                    <pic:cNvPr id="0" name="action_rates_owner_renter.png"/>
                    <pic:cNvPicPr/>
                  </pic:nvPicPr>
                  <pic:blipFill>
                    <a:blip r:embed="rId11"/>
                    <a:stretch>
                      <a:fillRect/>
                    </a:stretch>
                  </pic:blipFill>
                  <pic:spPr>
                    <a:xfrm>
                      <a:off x="0" y="0"/>
                      <a:ext cx="5029200" cy="2994117"/>
                    </a:xfrm>
                    <a:prstGeom prst="rect"/>
                  </pic:spPr>
                </pic:pic>
              </a:graphicData>
            </a:graphic>
          </wp:inline>
        </w:drawing>
      </w:r>
    </w:p>
    <w:p>
      <w:pPr>
        <w:pStyle w:val="Heading2"/>
      </w:pPr>
      <w:r>
        <w:rPr>
          <w:color w:val="1A237E"/>
        </w:rPr>
        <w:t>5.4 Action Mean Likert Scores</w:t>
      </w:r>
    </w:p>
    <w:p>
      <w:pPr>
        <w:jc w:val="center"/>
      </w:pPr>
      <w:r>
        <w:drawing>
          <wp:inline xmlns:a="http://schemas.openxmlformats.org/drawingml/2006/main" xmlns:pic="http://schemas.openxmlformats.org/drawingml/2006/picture">
            <wp:extent cx="5029200" cy="2994117"/>
            <wp:docPr id="4" name="Picture 4"/>
            <wp:cNvGraphicFramePr>
              <a:graphicFrameLocks noChangeAspect="1"/>
            </wp:cNvGraphicFramePr>
            <a:graphic>
              <a:graphicData uri="http://schemas.openxmlformats.org/drawingml/2006/picture">
                <pic:pic>
                  <pic:nvPicPr>
                    <pic:cNvPr id="0" name="action_means_owner_renter.png"/>
                    <pic:cNvPicPr/>
                  </pic:nvPicPr>
                  <pic:blipFill>
                    <a:blip r:embed="rId12"/>
                    <a:stretch>
                      <a:fillRect/>
                    </a:stretch>
                  </pic:blipFill>
                  <pic:spPr>
                    <a:xfrm>
                      <a:off x="0" y="0"/>
                      <a:ext cx="5029200" cy="2994117"/>
                    </a:xfrm>
                    <a:prstGeom prst="rect"/>
                  </pic:spPr>
                </pic:pic>
              </a:graphicData>
            </a:graphic>
          </wp:inline>
        </w:drawing>
      </w:r>
    </w:p>
    <w:p>
      <w:pPr>
        <w:pStyle w:val="Heading1"/>
      </w:pPr>
      <w:r>
        <w:rPr>
          <w:color w:val="1A237E"/>
        </w:rPr>
        <w:t>6. TP Decay Calibration Data</w:t>
      </w:r>
    </w:p>
    <w:p>
      <w:r>
        <w:t>The calibration dataset contains only respondents with flood experience (Q15 not NaN). Variables include Q15 (flood recency ordinal), Q15_year (converted to approximate years), and the 5 psychological means.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Statistic</w:t>
            </w:r>
          </w:p>
        </w:tc>
        <w:tc>
          <w:tcPr>
            <w:tcW w:type="dxa" w:w="2880"/>
          </w:tcPr>
          <w:p>
            <w:pPr>
              <w:jc w:val="center"/>
            </w:pPr>
            <w:r>
              <w:rPr>
                <w:b/>
                <w:sz w:val="18"/>
              </w:rPr>
              <w:t>Owner</w:t>
            </w:r>
          </w:p>
        </w:tc>
        <w:tc>
          <w:tcPr>
            <w:tcW w:type="dxa" w:w="2880"/>
          </w:tcPr>
          <w:p>
            <w:pPr>
              <w:jc w:val="center"/>
            </w:pPr>
            <w:r>
              <w:rPr>
                <w:b/>
                <w:sz w:val="18"/>
              </w:rPr>
              <w:t>Renter</w:t>
            </w:r>
          </w:p>
        </w:tc>
      </w:tr>
      <w:tr>
        <w:tc>
          <w:tcPr>
            <w:tcW w:type="dxa" w:w="2880"/>
          </w:tcPr>
          <w:p>
            <w:pPr>
              <w:jc w:val="center"/>
            </w:pPr>
            <w:r>
              <w:rPr>
                <w:sz w:val="18"/>
              </w:rPr>
              <w:t>Count</w:t>
            </w:r>
          </w:p>
        </w:tc>
        <w:tc>
          <w:tcPr>
            <w:tcW w:type="dxa" w:w="2880"/>
          </w:tcPr>
          <w:p>
            <w:pPr>
              <w:jc w:val="center"/>
            </w:pPr>
            <w:r>
              <w:rPr>
                <w:sz w:val="18"/>
              </w:rPr>
              <w:t>170</w:t>
            </w:r>
          </w:p>
        </w:tc>
        <w:tc>
          <w:tcPr>
            <w:tcW w:type="dxa" w:w="2880"/>
          </w:tcPr>
          <w:p>
            <w:pPr>
              <w:jc w:val="center"/>
            </w:pPr>
            <w:r>
              <w:rPr>
                <w:sz w:val="18"/>
              </w:rPr>
              <w:t>43</w:t>
            </w:r>
          </w:p>
        </w:tc>
      </w:tr>
      <w:tr>
        <w:tc>
          <w:tcPr>
            <w:tcW w:type="dxa" w:w="2880"/>
          </w:tcPr>
          <w:p>
            <w:pPr>
              <w:jc w:val="center"/>
            </w:pPr>
            <w:r>
              <w:rPr>
                <w:sz w:val="18"/>
              </w:rPr>
              <w:t>Q15 mean</w:t>
            </w:r>
          </w:p>
        </w:tc>
        <w:tc>
          <w:tcPr>
            <w:tcW w:type="dxa" w:w="2880"/>
          </w:tcPr>
          <w:p>
            <w:pPr>
              <w:jc w:val="center"/>
            </w:pPr>
            <w:r>
              <w:rPr>
                <w:sz w:val="18"/>
              </w:rPr>
              <w:t>2.27</w:t>
            </w:r>
          </w:p>
        </w:tc>
        <w:tc>
          <w:tcPr>
            <w:tcW w:type="dxa" w:w="2880"/>
          </w:tcPr>
          <w:p>
            <w:pPr>
              <w:jc w:val="center"/>
            </w:pPr>
            <w:r>
              <w:rPr>
                <w:sz w:val="18"/>
              </w:rPr>
              <w:t>2.63</w:t>
            </w:r>
          </w:p>
        </w:tc>
      </w:tr>
      <w:tr>
        <w:tc>
          <w:tcPr>
            <w:tcW w:type="dxa" w:w="2880"/>
          </w:tcPr>
          <w:p>
            <w:pPr>
              <w:jc w:val="center"/>
            </w:pPr>
            <w:r>
              <w:rPr>
                <w:sz w:val="18"/>
              </w:rPr>
              <w:t>Q15_year mean</w:t>
            </w:r>
          </w:p>
        </w:tc>
        <w:tc>
          <w:tcPr>
            <w:tcW w:type="dxa" w:w="2880"/>
          </w:tcPr>
          <w:p>
            <w:pPr>
              <w:jc w:val="center"/>
            </w:pPr>
            <w:r>
              <w:rPr>
                <w:sz w:val="18"/>
              </w:rPr>
              <w:t>5.05</w:t>
            </w:r>
          </w:p>
        </w:tc>
        <w:tc>
          <w:tcPr>
            <w:tcW w:type="dxa" w:w="2880"/>
          </w:tcPr>
          <w:p>
            <w:pPr>
              <w:jc w:val="center"/>
            </w:pPr>
            <w:r>
              <w:rPr>
                <w:sz w:val="18"/>
              </w:rPr>
              <w:t>7.19</w:t>
            </w:r>
          </w:p>
        </w:tc>
      </w:tr>
      <w:tr>
        <w:tc>
          <w:tcPr>
            <w:tcW w:type="dxa" w:w="2880"/>
          </w:tcPr>
          <w:p>
            <w:pPr>
              <w:jc w:val="center"/>
            </w:pPr>
            <w:r>
              <w:rPr>
                <w:sz w:val="18"/>
              </w:rPr>
              <w:t>SC mean</w:t>
            </w:r>
          </w:p>
        </w:tc>
        <w:tc>
          <w:tcPr>
            <w:tcW w:type="dxa" w:w="2880"/>
          </w:tcPr>
          <w:p>
            <w:pPr>
              <w:jc w:val="center"/>
            </w:pPr>
            <w:r>
              <w:rPr>
                <w:sz w:val="18"/>
              </w:rPr>
              <w:t>3.67</w:t>
            </w:r>
          </w:p>
        </w:tc>
        <w:tc>
          <w:tcPr>
            <w:tcW w:type="dxa" w:w="2880"/>
          </w:tcPr>
          <w:p>
            <w:pPr>
              <w:jc w:val="center"/>
            </w:pPr>
            <w:r>
              <w:rPr>
                <w:sz w:val="18"/>
              </w:rPr>
              <w:t>3.36</w:t>
            </w:r>
          </w:p>
        </w:tc>
      </w:tr>
      <w:tr>
        <w:tc>
          <w:tcPr>
            <w:tcW w:type="dxa" w:w="2880"/>
          </w:tcPr>
          <w:p>
            <w:pPr>
              <w:jc w:val="center"/>
            </w:pPr>
            <w:r>
              <w:rPr>
                <w:sz w:val="18"/>
              </w:rPr>
              <w:t>PA mean</w:t>
            </w:r>
          </w:p>
        </w:tc>
        <w:tc>
          <w:tcPr>
            <w:tcW w:type="dxa" w:w="2880"/>
          </w:tcPr>
          <w:p>
            <w:pPr>
              <w:jc w:val="center"/>
            </w:pPr>
            <w:r>
              <w:rPr>
                <w:sz w:val="18"/>
              </w:rPr>
              <w:t>3.35</w:t>
            </w:r>
          </w:p>
        </w:tc>
        <w:tc>
          <w:tcPr>
            <w:tcW w:type="dxa" w:w="2880"/>
          </w:tcPr>
          <w:p>
            <w:pPr>
              <w:jc w:val="center"/>
            </w:pPr>
            <w:r>
              <w:rPr>
                <w:sz w:val="18"/>
              </w:rPr>
              <w:t>3.25</w:t>
            </w:r>
          </w:p>
        </w:tc>
      </w:tr>
      <w:tr>
        <w:tc>
          <w:tcPr>
            <w:tcW w:type="dxa" w:w="2880"/>
          </w:tcPr>
          <w:p>
            <w:pPr>
              <w:jc w:val="center"/>
            </w:pPr>
            <w:r>
              <w:rPr>
                <w:sz w:val="18"/>
              </w:rPr>
              <w:t>TP mean</w:t>
            </w:r>
          </w:p>
        </w:tc>
        <w:tc>
          <w:tcPr>
            <w:tcW w:type="dxa" w:w="2880"/>
          </w:tcPr>
          <w:p>
            <w:pPr>
              <w:jc w:val="center"/>
            </w:pPr>
            <w:r>
              <w:rPr>
                <w:sz w:val="18"/>
              </w:rPr>
              <w:t>3.34</w:t>
            </w:r>
          </w:p>
        </w:tc>
        <w:tc>
          <w:tcPr>
            <w:tcW w:type="dxa" w:w="2880"/>
          </w:tcPr>
          <w:p>
            <w:pPr>
              <w:jc w:val="center"/>
            </w:pPr>
            <w:r>
              <w:rPr>
                <w:sz w:val="18"/>
              </w:rPr>
              <w:t>3.60</w:t>
            </w:r>
          </w:p>
        </w:tc>
      </w:tr>
      <w:tr>
        <w:tc>
          <w:tcPr>
            <w:tcW w:type="dxa" w:w="2880"/>
          </w:tcPr>
          <w:p>
            <w:pPr>
              <w:jc w:val="center"/>
            </w:pPr>
            <w:r>
              <w:rPr>
                <w:sz w:val="18"/>
              </w:rPr>
              <w:t>CP mean</w:t>
            </w:r>
          </w:p>
        </w:tc>
        <w:tc>
          <w:tcPr>
            <w:tcW w:type="dxa" w:w="2880"/>
          </w:tcPr>
          <w:p>
            <w:pPr>
              <w:jc w:val="center"/>
            </w:pPr>
            <w:r>
              <w:rPr>
                <w:sz w:val="18"/>
              </w:rPr>
              <w:t>3.19</w:t>
            </w:r>
          </w:p>
        </w:tc>
        <w:tc>
          <w:tcPr>
            <w:tcW w:type="dxa" w:w="2880"/>
          </w:tcPr>
          <w:p>
            <w:pPr>
              <w:jc w:val="center"/>
            </w:pPr>
            <w:r>
              <w:rPr>
                <w:sz w:val="18"/>
              </w:rPr>
              <w:t>3.38</w:t>
            </w:r>
          </w:p>
        </w:tc>
      </w:tr>
      <w:tr>
        <w:tc>
          <w:tcPr>
            <w:tcW w:type="dxa" w:w="2880"/>
          </w:tcPr>
          <w:p>
            <w:pPr>
              <w:jc w:val="center"/>
            </w:pPr>
            <w:r>
              <w:rPr>
                <w:sz w:val="18"/>
              </w:rPr>
              <w:t>SP mean</w:t>
            </w:r>
          </w:p>
        </w:tc>
        <w:tc>
          <w:tcPr>
            <w:tcW w:type="dxa" w:w="2880"/>
          </w:tcPr>
          <w:p>
            <w:pPr>
              <w:jc w:val="center"/>
            </w:pPr>
            <w:r>
              <w:rPr>
                <w:sz w:val="18"/>
              </w:rPr>
              <w:t>2.83</w:t>
            </w:r>
          </w:p>
        </w:tc>
        <w:tc>
          <w:tcPr>
            <w:tcW w:type="dxa" w:w="2880"/>
          </w:tcPr>
          <w:p>
            <w:pPr>
              <w:jc w:val="center"/>
            </w:pPr>
            <w:r>
              <w:rPr>
                <w:sz w:val="18"/>
              </w:rPr>
              <w:t>3.02</w:t>
            </w:r>
          </w:p>
        </w:tc>
      </w:tr>
    </w:tbl>
    <w:p/>
    <w:p>
      <w:r>
        <w:t>Renters have slightly longer average time since last flood (7.2 vs 5.1 years) and higher TP mean (3.60 vs 3.34). The renter sample (n=43) is small but usable for grid-search calibration. Bootstrap confidence intervals will be wider.</w:t>
      </w:r>
    </w:p>
    <w:p>
      <w:pPr>
        <w:pStyle w:val="Heading1"/>
      </w:pPr>
      <w:r>
        <w:rPr>
          <w:color w:val="1A237E"/>
        </w:rPr>
        <w:t>7. Ready-to-Use PerceptionSampler Parameters</w:t>
      </w:r>
    </w:p>
    <w:p>
      <w:r>
        <w:t>These Beta parameters can directly replace the hardcoded values in PerceptionSampler.py (line 20–35):</w:t>
      </w:r>
    </w:p>
    <w:p>
      <w:pPr/>
      <w:r>
        <w:rPr>
          <w:rFonts w:ascii="Consolas" w:hAnsi="Consolas"/>
          <w:sz w:val="18"/>
        </w:rPr>
        <w:t>params = {</w:t>
        <w:br/>
        <w:t xml:space="preserve">    'owner': {</w:t>
        <w:br/>
        <w:t xml:space="preserve">        'TP': {'alpha': 6.122639800, 'beta': 4.480251499},</w:t>
        <w:br/>
        <w:t xml:space="preserve">        'CP': {'alpha': 5.430291126, 'beta': 3.333321897},</w:t>
        <w:br/>
        <w:t xml:space="preserve">        'SP': {'alpha': 2.666477827, 'beta': 2.014197185},</w:t>
        <w:br/>
        <w:t xml:space="preserve">        'SC': {'alpha': 3.367934467, 'beta': 1.154550838},</w:t>
        <w:br/>
        <w:t xml:space="preserve">        'PA': {'alpha': 3.574674584, 'beta': 1.850491186},</w:t>
        <w:br/>
        <w:t xml:space="preserve">    },</w:t>
        <w:br/>
        <w:t xml:space="preserve">    'renter': {</w:t>
        <w:br/>
        <w:t xml:space="preserve">        'TP': {'alpha': 4.765219193, 'beta': 3.364159852},</w:t>
        <w:br/>
        <w:t xml:space="preserve">        'CP': {'alpha': 5.236202560, 'beta': 3.154797843},</w:t>
        <w:br/>
        <w:t xml:space="preserve">        'SP': {'alpha': 2.142182744, 'beta': 1.474363312},</w:t>
        <w:br/>
        <w:t xml:space="preserve">        'SC': {'alpha': 3.996213540, 'beta': 1.576348572},</w:t>
        <w:br/>
        <w:t xml:space="preserve">        'PA': {'alpha': 2.761719297, 'beta': 1.428060094},</w:t>
        <w:br/>
        <w:t xml:space="preserve">    }</w:t>
        <w:br/>
        <w:t>}</w:t>
      </w:r>
    </w:p>
    <w:p>
      <w:pPr>
        <w:pStyle w:val="Heading1"/>
      </w:pPr>
      <w:r>
        <w:rPr>
          <w:color w:val="1A237E"/>
        </w:rPr>
        <w:t>8. Next Steps</w:t>
      </w:r>
    </w:p>
    <w:p>
      <w:r>
        <w:t>1. Professor reviews this report and approves distributions.</w:t>
        <w:br/>
        <w:t>2. Phase 2: Update Bayesian regression config → run with owner/renter data → produce new .pkl model files.</w:t>
        <w:br/>
        <w:t>3. Phase 3: Update TP decay calibration → run grid search → new α, β, τ₀, d, k parameters.</w:t>
        <w:br/>
        <w:t>4. Phase 4: Propagate owner/renter labels through simulation code (bayes_fast_predictors.py, mgmix_tp.py, mgmix_decision.py, mgmix_pipeline.py).</w:t>
      </w:r>
    </w:p>
    <w:p>
      <w:pPr>
        <w:pStyle w:val="Heading2"/>
      </w:pPr>
      <w:r>
        <w:rPr>
          <w:color w:val="1A237E"/>
        </w:rPr>
        <w:t>8.1 Discussion Points for Professor</w:t>
      </w:r>
    </w:p>
    <w:p>
      <w:r>
        <w:t>• Renter calibration sample (n=43): sufficient or needs augmentation?</w:t>
        <w:br/>
        <w:t>• EH/BP availability: restrict to owners only, or allow renters?</w:t>
        <w:br/>
        <w:t>• Original plan: RL = renter-only. Current data shows owners also respond to RL (34.9%). Keep RL for both groups or restrict?</w:t>
        <w:br/>
        <w:t>• MG_variable bug: does this affect any previously published results?</w:t>
        <w:br/>
        <w:t>• KS test failures: acceptable for ABM initialization? (standard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