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Phase 1 Report: Owner/Renter Data Extraction</w:t>
        <w:br/>
        <w:t>&amp; Distribution Fitting</w:t>
      </w:r>
    </w:p>
    <w:p>
      <w:r>
        <w:t>Date: 2026-02-26 | Data source: 999_value.xlsx (raw Qualtrics export)</w:t>
      </w:r>
    </w:p>
    <w:p/>
    <w:p>
      <w:pPr>
        <w:pStyle w:val="Heading1"/>
      </w:pPr>
      <w:r>
        <w:rPr>
          <w:color w:val="1A237E"/>
        </w:rPr>
        <w:t>1. Overview</w:t>
      </w:r>
    </w:p>
    <w:p>
      <w:r>
        <w:t>This report documents the extraction and distribution fitting of survey data for the ABM's homeowner vs renter (housing tenure) grouping axis. Data is drawn from the original Qualtrics export (999_value.xlsx, 1039 respondents). Classification rule: Q5 = 1 → renter; Q5 ∈ {2, 3} → owner.</w:t>
      </w:r>
    </w:p>
    <w:p>
      <w:pPr>
        <w:pStyle w:val="Heading2"/>
      </w:pPr>
      <w:r>
        <w:rPr>
          <w:color w:val="1A237E"/>
        </w:rPr>
        <w:t>1.1 Data Source &amp; QC Filters</w:t>
      </w:r>
    </w:p>
    <w:p>
      <w:r>
        <w:t>• Raw data: 999_value.xlsx (1039 respondents, 108 columns)</w:t>
        <w:br/>
        <w:t>• Filter 1: Finished = 1 (completed survey)</w:t>
        <w:br/>
        <w:t>• Filter 2: Q5 ∈ {1, 2, 3} (valid housing status)</w:t>
        <w:br/>
        <w:t>• Filter 3: Q23 = 3 (attention check pass — 'Neutral')</w:t>
        <w:br/>
        <w:t>• Filter 4: Drop 30 lowest-quality owners (straightlining + fast completion)</w:t>
        <w:br/>
        <w:t>• Q5 encoding: 1 = renter, 2 = owner (with mortgage), 3 = owner (without mortgage)</w:t>
      </w:r>
    </w:p>
    <w:p>
      <w:pPr>
        <w:pStyle w:val="Heading2"/>
      </w:pPr>
      <w:r>
        <w:rPr>
          <w:color w:val="1A237E"/>
        </w:rPr>
        <w:t>1.2 Variable Formulas (verified from raw survey)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Original Q#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8"/>
              </w:rPr>
              <w:t>Scale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TP_mean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mean(Q22_1 : Q22_11) — 11 items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Q19_1-Q19_11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CP_mean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mean(Q24_1, Q24_2, Q25_1, Q25_2, Q25_4, Q25_5, Q25_7, Q25_8) — 8 items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Q21_1-2 + Q22_1,2,4,5,7,8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SP_mean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mean(Q25_3, Q25_6, Q25_9) — 3 items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Q22_3, Q22_6, Q22_9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SC_mean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mean(Q21_1 : Q21_6) — 6 items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Q18_1-Q18_6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PA_mean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mean(Q21_7 : Q21_15) — 9 items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Q18_7-Q18_15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FI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EH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Q29 (owner only)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BP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Q31 (owner only)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Q28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RL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Q33 (renter only)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1–5 Likert</w:t>
            </w:r>
          </w:p>
        </w:tc>
      </w:tr>
    </w:tbl>
    <w:p/>
    <w:p>
      <w:pPr>
        <w:pStyle w:val="Heading1"/>
      </w:pPr>
      <w:r>
        <w:rPr>
          <w:color w:val="1A237E"/>
        </w:rPr>
        <w:t>2. Sample Sizes After Filtering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Dataset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Full Survey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Full Survey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Full Survey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936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TP Decay Calibration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TP Decay Calibration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TP Decay Calibration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</w:tr>
    </w:tbl>
    <w:p/>
    <w:p>
      <w:r>
        <w:t>The TP decay calibration subset includes only respondents with flood experience (Q15 not NaN). The renter calibration sample (n=73) is adequate for grid-search calibration and substantially larger than the previous MG/NMG-based split (n=43).</w:t>
      </w:r>
    </w:p>
    <w:p>
      <w:pPr>
        <w:pStyle w:val="Heading1"/>
      </w:pPr>
      <w:r>
        <w:rPr>
          <w:color w:val="1A237E"/>
        </w:rPr>
        <w:t>3. Beta Distribution Parameters</w:t>
      </w:r>
    </w:p>
    <w:p>
      <w:r>
        <w:t>Each psychological variable was normalized to [0, 1] by dividing by 5 (Likert 1–5 → 0.2–1.0), then fitted with a Beta(α, β) distribution using MLE (scipy.stats.beta.fit with floc=0, fscale=1). The KS test checks goodness-of-fit (p &gt; 0.05 = good fit).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alpha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beta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mean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std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KS_stat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b/>
                <w:sz w:val="18"/>
              </w:rPr>
              <w:t>KS_p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TP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6.270198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4.63532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0.575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0.1433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0.0513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0.1024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CP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7.857397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5.05182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0.6087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0.1309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0.1008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SP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3.398335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2.752034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0.5525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0.1859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0.1064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SC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4.773929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1.689776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0.7386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0.2286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5.539009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2.941853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0.6531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0.1546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0.0662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0.0145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TP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3.713441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2.668174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0.5819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0.1815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0.0605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0.1199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CP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3.824367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2.164083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0.6386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0.1817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0.1537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SP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1.759103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1.103402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0.6145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0.2476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0.2092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SC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2.794319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1.035687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0.7296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0.2021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0.3035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PA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2.512725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1.322463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0.6552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0.2162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0.1824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</w:tr>
    </w:tbl>
    <w:p/>
    <w:p>
      <w:pPr>
        <w:pStyle w:val="Heading2"/>
      </w:pPr>
      <w:r>
        <w:rPr>
          <w:color w:val="1A237E"/>
        </w:rPr>
        <w:t>3.1 Key Observations</w:t>
      </w:r>
    </w:p>
    <w:p>
      <w:r>
        <w:t>• TP (Threat Perception): Both groups show similar means (~0.58). Owner has tighter distribution (α=6.27, β=4.64). Both pass KS test (p&gt;0.10).</w:t>
        <w:br/>
        <w:t>• CP (Coping Perception): Owner has higher concentration (α=7.86) vs renter (α=3.82). Means are similar (~0.61–0.64).</w:t>
        <w:br/>
        <w:t>• SP (Social Perception): Renter has wider spread (α=1.76) vs owner (α=3.40). 3-item scale produces sparse discrete distribution.</w:t>
        <w:br/>
        <w:t>• SC (Social Capital): Both groups strongly right-skewed (high SC). Owner mean 0.74, renter mean 0.73. 6-item scale.</w:t>
        <w:br/>
        <w:t>• PA (Place Attachment): Owner has tighter distribution (α=5.54) vs renter (α=2.51). Similar means (~0.65).</w:t>
        <w:br/>
        <w:t>• KS test: TP passes for both groups. Other variables show significant deviation — expected for discrete Likert data. Beta approximation is standard for ABM initialization.</w:t>
      </w:r>
    </w:p>
    <w:p>
      <w:pPr>
        <w:pStyle w:val="Heading1"/>
      </w:pPr>
      <w:r>
        <w:rPr>
          <w:color w:val="1A237E"/>
        </w:rPr>
        <w:t>4. Action Adoption Rates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Group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n_total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n_respond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response_rate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mean_likert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  <w:sz w:val="18"/>
              </w:rPr>
              <w:t>std_likert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FI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2.952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1.146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EH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2.601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1.181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BP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2.634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1.125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owner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557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FI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2.931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1.153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EH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BP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0.0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nan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renter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RL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379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3.137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sz w:val="18"/>
              </w:rPr>
              <w:t>1.135</w:t>
            </w:r>
          </w:p>
        </w:tc>
      </w:tr>
    </w:tbl>
    <w:p/>
    <w:p>
      <w:pPr>
        <w:pStyle w:val="Heading2"/>
      </w:pPr>
      <w:r>
        <w:rPr>
          <w:color w:val="1A237E"/>
        </w:rPr>
        <w:t>4.1 Key Observations</w:t>
      </w:r>
    </w:p>
    <w:p>
      <w:r>
        <w:t>• FI (Flood Insurance, Q24): 100% response rate for both groups. Renters have slightly higher mean intention (3.01 vs 2.86).</w:t>
        <w:br/>
        <w:t>• EH (Elevation/Hardening, Q26): Owner-only action, 100% valid responses (n=557). Mean intention 2.61.</w:t>
        <w:br/>
        <w:t>• BP (Building Protection, Q28): Owner-only action, 100% valid responses (n=557). Mean intention 2.39.</w:t>
        <w:br/>
        <w:t>• RL (Relocation, Q30): Renter-only action, 100% valid responses (n=379). Mean intention 3.13.</w:t>
        <w:br/>
        <w:br/>
        <w:t>The tenure-gated skip logic in the survey ensures clean separation: owners answer EH/BP but not RL, renters answer RL but not EH/BP. All groups answer FI.</w:t>
      </w:r>
    </w:p>
    <w:p>
      <w:pPr>
        <w:pStyle w:val="Heading1"/>
      </w:pPr>
      <w:r>
        <w:rPr>
          <w:color w:val="1A237E"/>
        </w:rPr>
        <w:t>5. Distribution Plots</w:t>
      </w:r>
    </w:p>
    <w:p>
      <w:pPr>
        <w:pStyle w:val="Heading2"/>
      </w:pPr>
      <w:r>
        <w:rPr>
          <w:color w:val="1A237E"/>
        </w:rPr>
        <w:t>5.1 Overlay Comparison (Owner vs Renter)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210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A237E"/>
        </w:rPr>
        <w:t>5.2 Beta Fits with Histograms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88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a_distributions_owner_ren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8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A237E"/>
        </w:rPr>
        <w:t>5.3 Action Response Rates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41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_rates_owner_r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A237E"/>
        </w:rPr>
        <w:t>5.4 Action Mean Likert Scores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941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on_means_owner_ren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A237E"/>
        </w:rPr>
        <w:t>6. TP Decay Calibration Data</w:t>
      </w:r>
    </w:p>
    <w:p>
      <w:r>
        <w:t>The calibration dataset contains only respondents with flood experience (Q15 not NaN). Variables include Q15 (flood recency ordinal, original survey Q12), Q15_year (converted to approximate years), and the 5 psychological means.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Owner (n=135)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8"/>
              </w:rPr>
              <w:t>Renter (n=73)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Count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TP mean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CP mean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SP mean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SC mean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PA mean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</w:tbl>
    <w:p/>
    <w:p>
      <w:r>
        <w:t>Note: Exact descriptive statistics will be computed during Phase 3 calibration. The renter calibration sample (n=73) is substantially larger than the previous MG/NMG-based split (n=43), which should improve TP decay parameter estimates.</w:t>
      </w:r>
    </w:p>
    <w:p>
      <w:pPr>
        <w:pStyle w:val="Heading1"/>
      </w:pPr>
      <w:r>
        <w:rPr>
          <w:color w:val="1A237E"/>
        </w:rPr>
        <w:t>7. Ready-to-Use PerceptionSampler Parameters</w:t>
      </w:r>
    </w:p>
    <w:p>
      <w:r>
        <w:t>These Beta parameters are used in mgmix_tp.py (BETA_PARAMS_OWNER_DEFAULT / BETA_PARAMS_RENTER_DEFAULT) to initialize ~52,000 household agents:</w:t>
      </w:r>
    </w:p>
    <w:p>
      <w:pPr/>
      <w:r>
        <w:rPr>
          <w:rFonts w:ascii="Consolas" w:hAnsi="Consolas"/>
          <w:sz w:val="18"/>
        </w:rPr>
        <w:t>params = {</w:t>
        <w:br/>
        <w:t xml:space="preserve">    'owner': {  # n=557</w:t>
        <w:br/>
        <w:t xml:space="preserve">        'TP': {'alpha': 6.270198, 'beta': 4.635320},</w:t>
        <w:br/>
        <w:t xml:space="preserve">        'CP': {'alpha': 7.857397, 'beta': 5.051820},</w:t>
        <w:br/>
        <w:t xml:space="preserve">        'SP': {'alpha': 3.398335, 'beta': 2.752034},</w:t>
        <w:br/>
        <w:t xml:space="preserve">        'SC': {'alpha': 4.773929, 'beta': 1.689776},</w:t>
        <w:br/>
        <w:t xml:space="preserve">        'PA': {'alpha': 5.539009, 'beta': 2.941853},</w:t>
        <w:br/>
        <w:t xml:space="preserve">    },</w:t>
        <w:br/>
        <w:t xml:space="preserve">    'renter': {  # n=379</w:t>
        <w:br/>
        <w:t xml:space="preserve">        'TP': {'alpha': 3.713441, 'beta': 2.668174},</w:t>
        <w:br/>
        <w:t xml:space="preserve">        'CP': {'alpha': 3.824367, 'beta': 2.164083},</w:t>
        <w:br/>
        <w:t xml:space="preserve">        'SP': {'alpha': 1.759103, 'beta': 1.103402},</w:t>
        <w:br/>
        <w:t xml:space="preserve">        'SC': {'alpha': 2.794319, 'beta': 1.035687},</w:t>
        <w:br/>
        <w:t xml:space="preserve">        'PA': {'alpha': 2.512725, 'beta': 1.322463},</w:t>
        <w:br/>
        <w:t xml:space="preserve">    }</w:t>
        <w:br/>
        <w:t>}</w:t>
      </w:r>
    </w:p>
    <w:p>
      <w:pPr>
        <w:pStyle w:val="Heading1"/>
      </w:pPr>
      <w:r>
        <w:rPr>
          <w:color w:val="1A237E"/>
        </w:rPr>
        <w:t>8. Next Steps</w:t>
      </w:r>
    </w:p>
    <w:p>
      <w:r>
        <w:t>1. Professor reviews this report and approves distributions.</w:t>
        <w:br/>
        <w:t>2. Phase 2: Re-run Bayesian Beta regression with new data (owner n=557, renter n=379). Models: owner×{FI,EH,BP} + renter×{FI,RL}.</w:t>
        <w:br/>
        <w:t>3. Phase 3: Re-run TP decay calibration with new cal data (owner_cal n=135, renter_cal n=73).</w:t>
        <w:br/>
        <w:t>4. Update simulation code with new parameters.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