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rPr>
          <ns0:rFonts ns0:eastAsia="Times New Roman"/>
        </ns0:rP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a three-pillar architecture: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r>
        <ns0:rPr>
          <ns0:rFonts ns0:eastAsia="Times New Roman"/>
        </ns0:rPr>
      </ns0:r>
      <ns0:del ns0:id="12" ns0:author="Claude" ns0:date="2026-02-01T14:59:00Z" ns3:dateUtc="2026-02-01T14:59:18Z">
        <ns0:r ns0:rsidR="00000000" ns0:rsidDel="1937EF80">
          <ns0:rPr>
            <ns0:rFonts ns0:eastAsia="Times New Roman"/>
          </ns0:rPr>
          <ns0:delText>a 8.3%</ns0:delText>
        </ns0:r>
      </ns0:del>
      <ns0:ins ns0:id="13" ns0:author="Claude" ns0:date="2026-02-01T14:59:00Z" ns3:dateUtc="2026-02-01T14:59:18Z">
        <ns0:r>
          <ns0:rPr>
            <ns0:rFonts ns0:eastAsia="Times New Roman"/>
          </ns0:rPr>
          <ns0:t>a 28.1%</ns0:t>
        </ns0:r>
      </ns0:ins>
      <ns0:r>
        <ns0:rPr>
          <ns0:rFonts ns0:eastAsia="Times New Roman"/>
        </ns0:rPr>
      </ns0:r>
      <ns0:del ns0:id="14" ns0:author="Claude" ns0:date="2026-02-01T14:59:00Z" ns3:dateUtc="2026-02-01T14:59:18Z">
        <ns0:r ns0:rsidR="00000000" ns0:rsidDel="1937EF80">
          <ns0:rPr>
            <ns0:rFonts ns0:eastAsia="Times New Roman"/>
          </ns0:rPr>
          <ns0:delText>1.7%</ns0:delText>
        </ns0:r>
      </ns0:del>
      <ns0:ins ns0:id="15" ns0:author="Claude" ns0:date="2026-02-01T14:59:00Z" ns3:dateUtc="2026-02-01T14:59:18Z">
        <ns0:del ns0:id="16" ns0:author="Claude" ns0:date="2026-02-05T00:00:00Z">
          <ns0:r>
            <ns0:rPr>
              <ns0:rFonts ns0:eastAsia="Times New Roman"/>
            </ns0:rPr>
            <ns0:delText>1.0%</ns0:delText>
          </ns0:r>
        </ns0:del>
      </ns0:ins>
      <ns0:ins ns0:id="17" ns0:author="Claude" ns0:date="2026-02-05T00:00:00Z">
        <ns0:r ns0:rsidR="00000000">
          <ns0:t>1.0%</ns0:t>
        </ns0:r>
      </ns0:ins>
      <ns0:r>
        <ns0:rPr>
          <ns0:rFonts ns0:eastAsia="Times New Roman"/>
        </ns0:rPr>
      </ns0:r>
      <ns0:del ns0:id="18" ns0:author="Claude" ns0:date="2026-02-01T14:59:00Z" ns3:dateUtc="2026-02-01T14:59:18Z">
        <ns0:r ns0:rsidR="00000000" ns0:rsidDel="1937EF80">
          <ns0:rPr>
            <ns0:rFonts ns0:eastAsia="Times New Roman"/>
          </ns0:rPr>
          <ns0:delText>EBE 23% higher</ns0:delText>
        </ns0:r>
      </ns0:del>
      <ns0:ins ns0:id="19" ns0:author="Claude" ns0:date="2026-02-01T14:59:00Z" ns3:dateUtc="2026-02-01T14:59:18Z">
        <ns0:r>
          <ns0:rPr>
            <ns0:rFonts ns0:eastAsia="Times New Roman"/>
          </ns0:rPr>
          <ns0:t>EBE 27% higher</ns0:t>
        </ns0:r>
      </ns0:ins>
      <ns0:r>
        <ns0:rPr>
          <ns0:rFonts ns0:eastAsia="Times New Roman"/>
        </ns0:rPr>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Three-Pillar Design</ns0:t>
      </ns0:r>
    </ns0:p>
    <ns0:p ns2:paraId="04EC5DDC" ns2:textId="77777777" ns0:rsidR="00F803C3" ns0:rsidRDefault="00000000">
      <ns0:pPr>
        <ns0:spacing ns0:after="120" ns0:line="480" ns0:lineRule="auto"/>
        <ns0:ind ns0:firstLine="360"/>
        <ns0:jc ns0:val="both"/>
      </ns0:pPr>
      <ns0:r>
        <ns0:rPr>
          <ns0:rFonts ns0:eastAsia="Times New Roman"/>
        </ns0:rPr>
        <ns0:t>WAGF operates as a middleware layer between LLM agents and the simulation engine, following a strict separation of concerns: the LLM makes decisions, WAGF validates them, and the simulation engine executes approved actions (Figure 1). This design ensures that the governance layer never generates decisions or mutates simulation state directly.</ns0:t>
      </ns0:r>
    </ns0:p>
    <ns0:p ns2:paraId="7AD963E9" ns2:textId="77777777" ns0:rsidR="00F803C3" ns0:rsidRDefault="00000000">
      <ns0:pPr>
        <ns0:spacing ns0:after="120" ns0:line="480" ns0:lineRule="auto"/>
        <ns0:ind ns0:firstLine="360"/>
        <ns0:jc ns0:val="both"/>
      </ns0:pPr>
      <ns0:r>
        <ns0:rPr>
          <ns0:rFonts ns0:eastAsia="Times New Roman"/>
        </ns0:rPr>
        <ns0:t xml:space="preserve">The first pillar, </ns0:t>
      </ns0:r>
      <ns0:r>
        <ns0:rPr>
          <ns0:rFonts ns0:eastAsia="Times New Roman"/>
          <ns0:b/>
          <ns0:bCs/>
        </ns0:rPr>
        <ns0:t>governance</ns0:t>
      </ns0:r>
      <ns0:r>
        <ns0:rPr>
          <ns0:rFonts ns0:eastAsia="Times New Roman"/>
        </ns0:rPr>
        <ns0:t>, implements a rule-based validator chain defined in YAML configuration files. Each rule specifies a condition (e.g., agent has already adopted efficient irrigation) and a consequence (block the action, with an explanatory message). Rules are evaluated in priority order: identity rules (physical impossibilities) take precedence over thinking rules (behavioral coherence checks), which take precedence over warnings. When a proposed action is rejected, WAGF re-prompts the LLM with the rejection reason, allowing the agent to revise its decision (up to three retries). This approach draws on constitutional AI principles (Bai et al., 2022), applying rule-based constraints rather than learned reward signals.</ns0:t>
      </ns0:r>
    </ns0:p>
    <ns0:p ns2:paraId="00DADB2F" ns2:textId="77777777" ns0:rsidR="00F803C3" ns0:rsidRDefault="00000000">
      <ns0:pPr>
        <ns0:spacing ns0:after="120" ns0:line="480" ns0:lineRule="auto"/>
        <ns0:ind ns0:firstLine="360"/>
        <ns0:jc ns0:val="both"/>
      </ns0:pPr>
      <ns0:r>
        <ns0:rPr>
          <ns0:rFonts ns0:eastAsia="Times New Roman"/>
        </ns0:rPr>
        <ns0:t xml:space="preserve">The second pillar, </ns0:t>
      </ns0:r>
      <ns0:r>
        <ns0:rPr>
          <ns0:rFonts ns0:eastAsia="Times New Roman"/>
          <ns0:b/>
          <ns0:bCs/>
        </ns0:rPr>
        <ns0:t>cognitive memory</ns0:t>
      </ns0:r>
      <ns0:r>
        <ns0:rPr>
          <ns0:rFonts ns0:eastAsia="Times New Roman"/>
        </ns0:rPr>
        <ns0:t xml:space="preserve">, provides agents with structured access to their decision history. WAGF supports multiple memory engines: a sliding-window engine that maintains recent events (Group B baseline), and a human-centric engine that encodes episodic memories with emotional arousal weights and applies stochastic consolidation and decay </ns0:t>
      </ns0:r>
      <ns0:r>
        <ns0:rPr>
          <ns0:rFonts ns0:eastAsia="Times New Roman"/>
        </ns0:rPr>
        <ns0:lastRenderedPageBreak/>
        <ns0:t>(Group C). Memory content is injected into the LLM prompt as contextual background, enabling agents to learn from experience without requiring fine-tuning.</ns0:t>
      </ns0:r>
    </ns0:p>
    <ns0:p ns2:paraId="67173F29" ns2:textId="77777777" ns0:rsidR="00F803C3" ns0:rsidRDefault="00000000">
      <ns0:pPr>
        <ns0:spacing ns0:after="120" ns0:line="480" ns0:lineRule="auto"/>
        <ns0:ind ns0:firstLine="360"/>
        <ns0:jc ns0:val="both"/>
      </ns0:pPr>
      <ns0:r>
        <ns0:rPr>
          <ns0:rFonts ns0:eastAsia="Times New Roman"/>
        </ns0:rPr>
        <ns0:t xml:space="preserve">The third pillar, </ns0:t>
      </ns0:r>
      <ns0:r>
        <ns0:rPr>
          <ns0:rFonts ns0:eastAsia="Times New Roman"/>
          <ns0:b/>
          <ns0:bCs/>
        </ns0:rPr>
        <ns0:t>priority context</ns0:t>
      </ns0:r>
      <ns0:r>
        <ns0:rPr>
          <ns0:rFonts ns0:eastAsia="Times New Roman"/>
        </ns0:rPr>
        <ns0:t>, structures the information provided to LLMs using a tiered builder. Tier 1 (must-include) contains the agent’s current state, environmental conditions, and available actions. Tier 2 (should-include) adds memory summaries and social observations. Tier 3 (nice-to-have) provides historical trends and institutional background. This tiering ensures that critical decision context is never truncated by token limits, following principles from instruction-tuned prompt design (Ouyang et al., 2022; Wei et al., 2022).</ns0:t>
      </ns0:r>
    </ns0:p>
    <ns0:p ns2:paraId="01DF04BB" ns2:textId="77777777" ns0:rsidR="00F803C3" ns0:rsidRDefault="00000000">
      <ns0:pPr>
        <ns0:pStyle ns0:val="2"/>
        <ns0:spacing ns0:line="480" ns0:lineRule="auto"/>
      </ns0:pPr>
      <ns0:r>
        <ns0:t>2.2 Skill Registry and Validator Chain</ns0:t>
      </ns0:r>
    </ns0:p>
    <ns0:p ns2:paraId="63C52A09" ns2:textId="77777777" ns0:rsidR="00F803C3" ns0:rsidRDefault="00000000">
      <ns0:pPr>
        <ns0:spacing ns0:after="120" ns0:line="480" ns0:lineRule="auto"/>
        <ns0:ind ns0:firstLine="360"/>
        <ns0:jc ns0:val="both"/>
      </ns0:pPr>
      <ns0:r>
        <ns0:rPr>
          <ns0:rFonts ns0:eastAsia="Times New Roman"/>
        </ns0:rPr>
        <ns0:t>WAGF defines agent capabilities as named “skills” with pre- and post-conditions. The SkillBrokerEngine processes each decision through a six-phase pipeline: (1) context assembly, (2) LLM inference via Ollama (Ollama, 2024), (3) response parsing with a four-layer fallback (JSON, enclosure delimiters, regex, digit extraction), (4) validation against the rule chain, (5) execution of approved skills, and (6) audit logging (Figure 2). Every decision is logged with its validation status, enabling post-hoc hallucination analysis.</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rPr>
          <ns0:rFonts ns0:eastAsia="Times New Roman"/>
        </ns0:rPr>
        <ns0:t>WAGF is domain-agnostic: the same engine serves both flood adaptation and irrigation management (Table 1). Domain specificity is achieved entirely through configuration—skill definitions, validator rules, and prompt templates—without modifying core code. For flood adaptation, skills include home elevation, insurance purchase, and relocation, with Protection Motivation Theory (Rogers, 1975, 1983) providing the appraisal framework. For irrigation, skills include demand adjustment, efficiency adoption, and acreage reduction, with a dual-appraisal framework (Water Scarcity Assessment / Adaptive Capacity Assessment) adapted from Hung and Yang (2021).</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rPr>
          <ns0:rFonts ns0:eastAsia="Times New Roman"/>
        </ns0:rPr>
        <ns0:t xml:space="preserve">We define </ns0:t>
      </ns0:r>
      <ns0:r>
        <ns0:rPr>
          <ns0:rFonts ns0:eastAsia="Times New Roman"/>
          <ns0:i/>
          <ns0:iCs/>
        </ns0:rPr>
        <ns0:t>behavioral hallucination</ns0:t>
      </ns0:r>
      <ns0:r>
        <ns0:rPr>
          <ns0:rFonts ns0:eastAsia="Times New Roman"/>
        </ns0:rPr>
        <ns0:t xml:space="preserve"> as an action a</ns0:t>
      </ns0:r>
      <ns0:r>
        <ns0:rPr>
          <ns0:rFonts ns0:eastAsia="Times New Roman"/>
          <ns0:vertAlign ns0:val="subscript"/>
        </ns0:rPr>
        <ns0:t>t</ns0:t>
      </ns0:r>
      <ns0:r>
        <ns0:rPr>
          <ns0:rFonts ns0:eastAsia="Times New Roman"/>
        </ns0:rPr>
        <ns0:t xml:space="preserve"> proposed by an LLM agent that violates physical or institutional constraints given the agent’s state s</ns0:t>
      </ns0:r>
      <ns0:r>
        <ns0:rPr>
          <ns0:rFonts ns0:eastAsia="Times New Roman"/>
          <ns0:vertAlign ns0:val="subscript"/>
        </ns0:rPr>
        <ns0:t>t−1</ns0:t>
      </ns0:r>
      <ns0:r>
        <ns0:rPr>
          <ns0:rFonts ns0:eastAsia="Times New Roman"/>
        </ns0:rPr>
        <ns0:t xml:space="preserve"> at the previous timestep. Formally, let Α(s</ns0:t>
      </ns0:r>
      <ns0:r>
        <ns0:rPr>
          <ns0:rFonts ns0:eastAsia="Times New Roman"/>
          <ns0:vertAlign ns0:val="subscript"/>
        </ns0:rPr>
        <ns0:t>t−1</ns0:t>
      </ns0:r>
      <ns0:r>
        <ns0:rPr>
          <ns0:rFonts ns0:eastAsia="Times New Roman"/>
        </ns0:rPr>
        <ns0:t>) denote the set of feasible actions given state s</ns0:t>
      </ns0:r>
      <ns0:r>
        <ns0:rPr>
          <ns0:rFonts ns0:eastAsia="Times New Roman"/>
          <ns0:vertAlign ns0:val="subscript"/>
        </ns0:rPr>
        <ns0:t>t−1</ns0:t>
      </ns0:r>
      <ns0:r>
        <ns0:rPr>
          <ns0:rFonts ns0:eastAsia="Times New Roman"/>
        </ns0:rPr>
        <ns0:t>. An action is a behavioral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This differs from textual hallucination (Ji et al., 2023) in that the output may be linguistically coherent but physically impossible. The hallucination rate is: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ins ns0:id="21" ns0:author="Claude" ns0:date="2026-02-01T04:26:00Z" ns3:dateUtc="2026-02-01T04:26:18Z">
        <ns0:r>
          <ns0:rPr>
            <ns0:rFonts ns0:eastAsia="Times New Roman"/>
          </ns0:rPr>
          <ns0:t xml:space="preserve">We extend this taxonomy to include </ns0:t>
        </ns0:r>
        <ns0:r>
          <ns0:rPr>
            <ns0:rFonts ns0:eastAsia="Times New Roman"/>
            <ns0:i/>
            <ns0:iCs/>
          </ns0:rPr>
          <ns0:t>economic hallucinations</ns0:t>
        </ns0:r>
        <ns0:r>
          <ns0:rPr>
            <ns0:rFonts ns0:eastAsia="Times New Roman"/>
          </ns0:rPr>
          <ns0:t>: actions that are physically feasible but operationally absurd given the agent’s quantitative context. For example, an irrigation agent at 0.4% water utilisation choosing to further reduce demand. Formally, let Θ(s</ns0:t>
        </ns0:r>
        <ns0:r>
          <ns0:rPr>
            <ns0:rFonts ns0:eastAsia="Times New Roman"/>
            <ns0:vertAlign ns0:val="subscript"/>
          </ns0:rPr>
          <ns0:t>t</ns0:t>
        </ns0:r>
        <ns0:r>
          <ns0:rPr>
            <ns0:rFonts ns0:eastAsia="Times New Roman"/>
          </ns0:rPr>
          <ns0:t>) denote an economic rationality constraint; an action is an economic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but a</ns0:t>
        </ns0:r>
        <ns0:r>
          <ns0:rPr>
            <ns0:rFonts ns0:eastAsia="Times New Roman"/>
            <ns0:vertAlign ns0:val="subscript"/>
          </ns0:rPr>
          <ns0:t>t</ns0:t>
        </ns0:r>
        <ns0:r>
          <ns0:rPr>
            <ns0:rFonts ns0:eastAsia="Times New Roman"/>
          </ns0:rPr>
          <ns0:t xml:space="preserve"> ∉ Θ(s</ns0:t>
        </ns0:r>
        <ns0:r>
          <ns0:rPr>
            <ns0:rFonts ns0:eastAsia="Times New Roman"/>
            <ns0:vertAlign ns0:val="subscript"/>
          </ns0:rPr>
          <ns0:t>t</ns0:t>
        </ns0:r>
        <ns0:r>
          <ns0:rPr>
            <ns0:rFonts ns0:eastAsia="Times New Roman"/>
          </ns0:rPr>
          <ns0:t>)—the action is physically permitted but economically irrational. We operationalize this as utilisation below 10% of water right for two or more consecutive years.</ns0:t>
        </ns0:r>
      </ns0:ins>
    </ns0:p>
    <ns0:p ns2:paraId="45B87EC9" ns2:textId="77777777" ns0:rsidR="00F803C3" ns0:rsidRDefault="00000000">
      <ns0:pPr>
        <ns0:spacing ns0:before="120" ns0:after="120" ns0:line="480" ns0:lineRule="auto"/>
        <ns0:jc ns0:val="center"/>
      </ns0:pPr>
      <ns0:r>
        <ns0:rPr>
          <ns0:rFonts ns0:eastAsia="Times New Roman"/>
        </ns0:rPr>
        <ns0:t>R</ns0:t>
      </ns0:r>
      <ns0:r>
        <ns0:rPr>
          <ns0:rFonts ns0:eastAsia="Times New Roman"/>
          <ns0:vertAlign ns0:val="subscript"/>
        </ns0:rPr>
        <ns0:t>H</ns0:t>
      </ns0:r>
      <ns0:r>
        <ns0:rPr>
          <ns0:rFonts ns0:eastAsia="Times New Roman"/>
        </ns0:rPr>
        <ns0:t xml:space="preserve">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xml:space="preserve">          (1)</ns0:t>
      </ns0:r>
    </ns0:p>
    <ns0:p ns2:paraId="51E4AFA6" ns2:textId="77777777" ns0:rsidR="00F803C3" ns0:rsidRDefault="00000000">
      <ns0:pPr>
        <ns0:spacing ns0:after="120" ns0:line="480" ns0:lineRule="auto"/>
        <ns0:jc ns0:val="both"/>
      </ns0:pPr>
      <ns0:r>
        <ns0:rPr>
          <ns0:rFonts ns0:eastAsia="Times New Roman"/>
        </ns0:rPr>
        <ns0:t>The Effective Behavioral Entropy (EBE) combines normalized Shannon entropy (Shannon, 1948) with the hallucination penalty:</ns0:t>
      </ns0:r>
    </ns0:p>
    <ns0:p ns2:paraId="4D3349D9" ns2:textId="77777777" ns0:rsidR="00F803C3" ns0:rsidRDefault="00000000">
      <ns0:pPr>
        <ns0:spacing ns0:before="120" ns0:after="120" ns0:line="480" ns0:lineRule="auto"/>
        <ns0:jc ns0:val="center"/>
      </ns0:pPr>
      <ns0:r>
        <ns0:rPr>
          <ns0:rFonts ns0:eastAsia="Times New Roman"/>
        </ns0:rPr>
        <ns0:t>EBE = H</ns0:t>
      </ns0:r>
      <ns0:r>
        <ns0:rPr>
          <ns0:rFonts ns0:eastAsia="Times New Roman"/>
          <ns0:vertAlign ns0:val="subscript"/>
        </ns0:rPr>
        <ns0:t>norm</ns0:t>
      </ns0:r>
      <ns0:r>
        <ns0:rPr>
          <ns0:rFonts ns0:eastAsia="Times New Roman"/>
        </ns0:rPr>
        <ns0:t xml:space="preserve"> × (1 − R</ns0:t>
      </ns0:r>
      <ns0:r>
        <ns0:rPr>
          <ns0:rFonts ns0:eastAsia="Times New Roman"/>
          <ns0:vertAlign ns0:val="subscript"/>
        </ns0:rPr>
        <ns0:t>H</ns0:t>
      </ns0:r>
      <ns0:r>
        <ns0:rPr>
          <ns0:rFonts ns0:eastAsia="Times New Roman"/>
        </ns0:rPr>
        <ns0:t>) = [H / log</ns0:t>
      </ns0:r>
      <ns0:r>
        <ns0:rPr>
          <ns0:rFonts ns0:eastAsia="Times New Roman"/>
          <ns0:vertAlign ns0:val="subscript"/>
        </ns0:rPr>
        <ns0:t>2</ns0:t>
      </ns0:r>
      <ns0:r>
        <ns0:rPr>
          <ns0:rFonts ns0:eastAsia="Times New Roman"/>
        </ns0:rPr>
        <ns0:t>(k)] × [1 −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(2)</ns0:t>
      </ns0:r>
    </ns0:p>
    <ns0:p ns2:paraId="43A4DBCE" ns2:textId="77777777" ns0:rsidR="00F803C3" ns0:rsidRDefault="00000000">
      <ns0:pPr>
        <ns0:spacing ns0:after="120" ns0:line="480" ns0:lineRule="auto"/>
        <ns0:jc ns0:val="both"/>
      </ns0:pPr>
      <ns0:r>
        <ns0:rPr>
          <ns0:rFonts ns0:eastAsia="Times New Roman"/>
        </ns0:rPr>
        <ns0:t>where k is the number of available actions and H = −Σ p</ns0:t>
      </ns0:r>
      <ns0:r>
        <ns0:rPr>
          <ns0:rFonts ns0:eastAsia="Times New Roman"/>
          <ns0:vertAlign ns0:val="subscript"/>
        </ns0:rPr>
        <ns0:t>i</ns0:t>
      </ns0:r>
      <ns0:r>
        <ns0:rPr>
          <ns0:rFonts ns0:eastAsia="Times New Roman"/>
        </ns0:rPr>
        <ns0:t xml:space="preserve"> log</ns0:t>
      </ns0:r>
      <ns0:r>
        <ns0:rPr>
          <ns0:rFonts ns0:eastAsia="Times New Roman"/>
          <ns0:vertAlign ns0:val="subscript"/>
        </ns0:rPr>
        <ns0:t>2</ns0:t>
      </ns0:r>
      <ns0:r>
        <ns0:rPr>
          <ns0:rFonts ns0:eastAsia="Times New Roman"/>
        </ns0:rPr>
        <ns0:t xml:space="preserve"> p</ns0:t>
      </ns0:r>
      <ns0:r>
        <ns0:rPr>
          <ns0:rFonts ns0:eastAsia="Times New Roman"/>
          <ns0:vertAlign ns0:val="subscript"/>
        </ns0:rPr>
        <ns0:t>i</ns0:t>
      </ns0:r>
      <ns0:r>
        <ns0:rPr>
          <ns0:rFonts ns0:eastAsia="Times New Roman"/>
        </ns0:rPr>
        <ns0:t xml:space="preserve"> is the Shannon entropy of the </ns0:t>
      </ns0:r>
      <ns0:r>
        <ns0:rPr>
          <ns0:rFonts ns0:eastAsia="Times New Roman"/>
        </ns0:rPr>
        <ns0:lastRenderedPageBreak/>
        <ns0:t>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Hallucination Detection and Correction</ns0:t>
      </ns0:r>
    </ns0:p>
    <ns0:p ns2:paraId="614B0196" ns2:textId="77777777" ns0:rsidR="00F803C3" ns0:rsidRDefault="00000000">
      <ns0:pPr>
        <ns0:spacing ns0:after="120" ns0:line="480" ns0:lineRule="auto"/>
        <ns0:ind ns0:firstLine="360"/>
        <ns0:jc ns0:val="both"/>
      </ns0:pPr>
      <ns0:r>
        <ns0:rPr>
          <ns0:rFonts ns0:eastAsia="Times New Roman"/>
        </ns0:rPr>
        <ns0: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ns0:t>
      </ns0:r>
    </ns0:p>
    <ns0:p ns2:paraId="1588D2D4" ns2:textId="77777777" ns0:rsidR="00F803C3" ns0:rsidRDefault="1937EF80">
      <ns0:pPr>
        <ns0:spacing ns0:after="120" ns0:line="480" ns0:lineRule="auto"/>
        <ns0:ind ns0:firstLine="360"/>
        <ns0:jc ns0:val="both"/>
      </ns0:pPr>
      <ns0:r>
        <ns0:rPr>
          <ns0:rFonts ns0:eastAsia="Times New Roman"/>
        </ns0:rPr>
        <ns0: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ns0:t>
      </ns0:r>
      <ns0:del ns0:id="22" ns0:author="Claude" ns0:date="2026-02-01T14:58:00Z" ns3:dateUtc="2026-02-01T14:58:02Z">
        <ns0:r ns0:rsidR="00000000" ns0:rsidDel="1937EF80">
          <ns0:rPr>
            <ns0:rFonts ns0:eastAsia="Times New Roman"/>
          </ns0:rPr>
          <ns0:delText>8.3%</ns0:delText>
        </ns0:r>
      </ns0:del>
      <ns0:ins ns0:id="23" ns0:author="Claude" ns0:date="2026-02-01T14:58:00Z" ns3:dateUtc="2026-02-01T14:58:02Z">
        <ns0:del ns0:id="24" ns0:author="Claude" ns0:date="2026-02-05T00:00:00Z">
          <ns0:r>
            <ns0:rPr>
              <ns0:rFonts ns0:eastAsia="Times New Roman"/>
            </ns0:rPr>
            <ns0:delText>28.1%</ns0:delText>
          </ns0:r>
        </ns0:del>
      </ns0:ins>
      <ns0:ins ns0:id="25" ns0:author="Claude" ns0:date="2026-02-05T00:00:00Z">
        <ns0:r ns0:rsidR="00000000">
          <ns0:t>28.1%</ns0:t>
        </ns0:r>
      </ns0:ins>
      <ns0:r>
        <ns0:rPr>
          <ns0:rFonts ns0:eastAsia="Times New Roman"/>
        </ns0:rPr>
      </ns0:r>
      <ns0:del ns0:id="26" ns0:author="Claude" ns0:date="2026-02-01T14:58:00Z" ns3:dateUtc="2026-02-01T14:58:02Z">
        <ns0:r ns0:rsidR="00000000" ns0:rsidDel="1937EF80">
          <ns0:rPr>
            <ns0:rFonts ns0:eastAsia="Times New Roman"/>
          </ns0:rPr>
          <ns0:delText>1–10</ns0:delText>
        </ns0:r>
      </ns0:del>
      <ns0:ins ns0:id="27" ns0:author="Claude" ns0:date="2026-02-01T14:58:00Z" ns3:dateUtc="2026-02-01T14:58:02Z">
        <ns0:r>
          <ns0:rPr>
            <ns0:rFonts ns0:eastAsia="Times New Roman"/>
          </ns0:rPr>
          <ns0:t>2–10</ns0:t>
        </ns0:r>
      </ns0:ins>
      <ns0:r>
        <ns0:rPr>
          <ns0:rFonts ns0:eastAsia="Times New Roman"/>
        </ns0:rPr>
      </ns0:r>
      <ns0:del ns0:id="28" ns0:author="Claude" ns0:date="2026-02-01T14:58:00Z" ns3:dateUtc="2026-02-01T14:58:02Z">
        <ns0:r ns0:rsidR="00000000" ns0:rsidDel="1937EF80">
          <ns0:rPr>
            <ns0:rFonts ns0:eastAsia="Times New Roman"/>
          </ns0:rPr>
          <ns0:delText>5.0%</ns0:delText>
        </ns0:r>
      </ns0:del>
      <ns0:ins ns0:id="29" ns0:author="Claude" ns0:date="2026-02-01T14:58:00Z" ns3:dateUtc="2026-02-01T14:58:02Z">
        <ns0:del ns0:id="30" ns0:author="Claude" ns0:date="2026-02-05T00:00:00Z">
          <ns0:r>
            <ns0:rPr>
              <ns0:rFonts ns0:eastAsia="Times New Roman"/>
            </ns0:rPr>
            <ns0:delText>1.0%</ns0:delText>
          </ns0:r>
        </ns0:del>
      </ns0:ins>
      <ns0:ins ns0:id="31" ns0:author="Claude" ns0:date="2026-02-05T00:00:00Z">
        <ns0:r ns0:rsidR="00000000">
          <ns0:t>1.0%</ns0:t>
        </ns0:r>
      </ns0:ins>
      <ns0:r>
        <ns0:rPr>
          <ns0:rFonts ns0:eastAsia="Times New Roman"/>
        </ns0:rPr>
      </ns0:r>
      <ns0:del ns0:id="32" ns0:author="Claude" ns0:date="2026-02-01T14:58:00Z" ns3:dateUtc="2026-02-01T14:58:02Z">
        <ns0:r ns0:rsidR="00000000" ns0:rsidDel="1937EF80">
          <ns0:rPr>
            <ns0:rFonts ns0:eastAsia="Times New Roman"/>
          </ns0:rPr>
          <ns0:delText>1.7%</ns0:delText>
        </ns0:r>
      </ns0:del>
      <ns0:ins ns0:id="33" ns0:author="Claude" ns0:date="2026-02-01T14:58:00Z" ns3:dateUtc="2026-02-01T14:58:02Z">
        <ns0:del ns0:id="34" ns0:author="Claude" ns0:date="2026-02-05T00:00:00Z">
          <ns0:r>
            <ns0:rPr>
              <ns0:rFonts ns0:eastAsia="Times New Roman"/>
            </ns0:rPr>
            <ns0:delText>1.0%</ns0:delText>
          </ns0:r>
        </ns0:del>
      </ns0:ins>
      <ns0:ins ns0:id="35" ns0:author="Claude" ns0:date="2026-02-05T00:00:00Z">
        <ns0:r ns0:rsidR="00000000">
          <ns0:t>1.0%</ns0:t>
        </ns0:r>
      </ns0:ins>
      <ns0:r>
        <ns0:rPr>
          <ns0:rFonts ns0:eastAsia="Times New Roman"/>
        </ns0:rPr>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rPr>
          <ns0:rFonts ns0:eastAsia="Times New Roman"/>
        </ns0:rPr>
        <ns0: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ns0:t>
      </ns0:r>
      <ns0:r>
        <ns0:rPr>
          <ns0:rFonts ns0:eastAsia="Times New Roman"/>
          <ns0:vertAlign ns0:val="subscript"/>
        </ns0:rPr>
      </ns0:r>
      <ns0:r ns0:rsidR="1937EF80">
        <ns0:rPr>
          <ns0:rFonts ns0:eastAsia="Times New Roman"/>
        </ns0:rPr>
      </ns0:r>
      <ns0:del ns0:id="36" ns0:author="Claude" ns0:date="2026-02-01T14:58:00Z" ns3:dateUtc="2026-02-01T14:58:02Z">
        <ns0:r ns0:rsidDel="1937EF80">
          <ns0:rPr>
            <ns0:rFonts ns0:eastAsia="Times New Roman"/>
          </ns0:rPr>
          <ns0:delText>0.60</ns0:delText>
        </ns0:r>
      </ns0:del>
      <ns0:ins ns0:id="37" ns0:author="Claude" ns0:date="2026-02-01T14:58:00Z" ns3:dateUtc="2026-02-01T14:58:02Z">
        <ns0:del ns0:id="38" ns0:author="Claude" ns0:date="2026-02-05T00:00:00Z">
          <ns0:r ns0:rsidR="1937EF80">
            <ns0:rPr>
              <ns0:rFonts ns0:eastAsia="Times New Roman"/>
            </ns0:rPr>
            <ns0:delText>0.613</ns0:delText>
          </ns0:r>
        </ns0:del>
      </ns0:ins>
      <ns0:ins ns0:id="39" ns0:author="Claude" ns0:date="2026-02-05T00:00:00Z">
        <ns0:r>
          <ns0:t>0.613</ns0:t>
        </ns0:r>
      </ns0:ins>
      <ns0:r ns0:rsidR="1937EF80">
        <ns0:rPr>
          <ns0:rFonts ns0:eastAsia="Times New Roman"/>
        </ns0:rPr>
      </ns0:r>
      <ns0:del ns0:id="40" ns0:author="Claude" ns0:date="2026-02-01T14:58:00Z" ns3:dateUtc="2026-02-01T14:58:02Z">
        <ns0:r ns0:rsidDel="1937EF80">
          <ns0:rPr>
            <ns0:rFonts ns0:eastAsia="Times New Roman"/>
          </ns0:rPr>
          <ns0:delText>0.41</ns0:delText>
        </ns0:r>
      </ns0:del>
      <ns0:ins ns0:id="41" ns0:author="Claude" ns0:date="2026-02-01T14:58:00Z" ns3:dateUtc="2026-02-01T14:58:02Z">
        <ns0:r ns0:rsidR="1937EF80">
          <ns0:rPr>
            <ns0:rFonts ns0:eastAsia="Times New Roman"/>
          </ns0:rPr>
          <ns0:t>0.34</ns0:t>
        </ns0:r>
      </ns0:ins>
      <ns0:r ns0:rsidR="1937EF80">
        <ns0:rPr>
          <ns0:rFonts ns0:eastAsia="Times New Roman"/>
        </ns0:rPr>
      </ns0:r>
      <ns0:del ns0:id="42" ns0:author="Claude" ns0:date="2026-02-01T14:58:00Z" ns3:dateUtc="2026-02-01T14:58:02Z">
        <ns0:r ns0:rsidDel="1937EF80">
          <ns0:rPr>
            <ns0:rFonts ns0:eastAsia="Times New Roman"/>
          </ns0:rPr>
          <ns0:delText>0.52</ns0:delText>
        </ns0:r>
      </ns0:del>
      <ns0:ins ns0:id="43" ns0:author="Claude" ns0:date="2026-02-01T14:58:00Z" ns3:dateUtc="2026-02-01T14:58:02Z">
        <ns0:r ns0:rsidR="1937EF80">
          <ns0:rPr>
            <ns0:rFonts ns0:eastAsia="Times New Roman"/>
          </ns0:rPr>
          <ns0:t>0.45</ns0:t>
        </ns0:r>
      </ns0:ins>
      <ns0:r ns0:rsidR="1937EF80">
        <ns0:rPr>
          <ns0:rFonts ns0:eastAsia="Times New Roman"/>
        </ns0:rPr>
      </ns0:r>
      <ns0:del ns0:id="44" ns0:author="Claude" ns0:date="2026-02-01T14:58:00Z" ns3:dateUtc="2026-02-01T14:58:02Z">
        <ns0:r ns0:rsidDel="1937EF80">
          <ns0:rPr>
            <ns0:rFonts ns0:eastAsia="Times New Roman"/>
          </ns0:rPr>
          <ns0:delText>0.54</ns0:delText>
        </ns0:r>
      </ns0:del>
      <ns0:ins ns0:id="45" ns0:author="Claude" ns0:date="2026-02-01T14:58:00Z" ns3:dateUtc="2026-02-01T14:58:02Z">
        <ns0:r ns0:rsidR="1937EF80">
          <ns0:rPr>
            <ns0:rFonts ns0:eastAsia="Times New Roman"/>
          </ns0:rPr>
          <ns0:t>0.43</ns0:t>
        </ns0:r>
      </ns0:ins>
      <ns0:r ns0:rsidR="1937EF80">
        <ns0:rPr>
          <ns0:rFonts ns0:eastAsia="Times New Roman"/>
        </ns0:rPr>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rPr>
          <ns0:i/>
          <ns0:sz ns0:val="16"/>
        </ns0:rPr>
        <ns0:t>Pairwise tests (Mann–Whitney U): RH: A vs B: U=92, p=0.002, d=2.47; A vs C: U=92.5, p=0.001, d=3.29. EBE: A vs B: U=22, p=0.038, d=−0.61; A vs C: U=25, p=0.064, d=−1.10. Omnibus RH: KW=14.75, p&lt;0.001, η²=0.47; Omnibus EBE: KW=5.44, p=0.066.</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