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Supporting Information for</w:t>
      </w:r>
    </w:p>
    <w:p>
      <w:pPr>
        <w:pStyle w:val="Heading2"/>
      </w:pPr>
      <w:r>
        <w:rPr>
          <w:rFonts w:ascii="Times New Roman" w:hAnsi="Times New Roman"/>
          <w:color w:val="000000"/>
        </w:rPr>
        <w:t>WAGF: A Governance Framework for LLM-Driven Agent-Based Modeling in Human-Water Systems</w:t>
      </w:r>
    </w:p>
    <w:p/>
    <w:p>
      <w:pPr>
        <w:pStyle w:val="Heading2"/>
      </w:pPr>
      <w:r>
        <w:rPr>
          <w:rFonts w:ascii="Times New Roman" w:hAnsi="Times New Roman"/>
          <w:color w:val="000000"/>
        </w:rPr>
        <w:t>Contents</w:t>
      </w:r>
    </w:p>
    <w:p>
      <w:r>
        <w:rPr>
          <w:rFonts w:ascii="Times New Roman" w:hAnsi="Times New Roman"/>
          <w:b/>
          <w:sz w:val="22"/>
        </w:rPr>
        <w:t>Part A: Framework-Level</w:t>
      </w:r>
    </w:p>
    <w:p>
      <w:r>
        <w:rPr>
          <w:rFonts w:ascii="Times New Roman" w:hAnsi="Times New Roman"/>
          <w:sz w:val="22"/>
        </w:rPr>
        <w:t xml:space="preserve">  S1. Prompt Templates and Response Format</w:t>
      </w:r>
    </w:p>
    <w:p>
      <w:r>
        <w:rPr>
          <w:rFonts w:ascii="Times New Roman" w:hAnsi="Times New Roman"/>
          <w:sz w:val="22"/>
        </w:rPr>
        <w:t xml:space="preserve">  S2. Governance Retry Mechanism and EarlyExit</w:t>
      </w:r>
    </w:p>
    <w:p>
      <w:r>
        <w:rPr>
          <w:rFonts w:ascii="Times New Roman" w:hAnsi="Times New Roman"/>
          <w:b/>
          <w:sz w:val="22"/>
        </w:rPr>
        <w:t>Part B: Flood Case Study</w:t>
      </w:r>
    </w:p>
    <w:p>
      <w:r>
        <w:rPr>
          <w:rFonts w:ascii="Times New Roman" w:hAnsi="Times New Roman"/>
          <w:sz w:val="22"/>
        </w:rPr>
        <w:t xml:space="preserve">  S3. Flood Cross-Model Metrics (Table S1, Table S2)</w:t>
      </w:r>
    </w:p>
    <w:p>
      <w:r>
        <w:rPr>
          <w:rFonts w:ascii="Times New Roman" w:hAnsi="Times New Roman"/>
          <w:sz w:val="22"/>
        </w:rPr>
        <w:t xml:space="preserve">  S4. Flood Behavioral Diagnostics</w:t>
      </w:r>
    </w:p>
    <w:p>
      <w:r>
        <w:rPr>
          <w:rFonts w:ascii="Times New Roman" w:hAnsi="Times New Roman"/>
          <w:sz w:val="22"/>
        </w:rPr>
        <w:t xml:space="preserve">  S5. Flood Adaptation Matrices (Figures S1-S5)</w:t>
      </w:r>
    </w:p>
    <w:p>
      <w:r>
        <w:rPr>
          <w:rFonts w:ascii="Times New Roman" w:hAnsi="Times New Roman"/>
          <w:b/>
          <w:sz w:val="22"/>
        </w:rPr>
        <w:t>Part C: Irrigation Case Study</w:t>
      </w:r>
    </w:p>
    <w:p>
      <w:r>
        <w:rPr>
          <w:rFonts w:ascii="Times New Roman" w:hAnsi="Times New Roman"/>
          <w:sz w:val="22"/>
        </w:rPr>
        <w:t xml:space="preserve">  S6. Complete Governance Rule Specification</w:t>
      </w:r>
    </w:p>
    <w:p>
      <w:r>
        <w:rPr>
          <w:rFonts w:ascii="Times New Roman" w:hAnsi="Times New Roman"/>
          <w:sz w:val="22"/>
        </w:rPr>
        <w:t xml:space="preserve">  S7. FQL-to-LLM Persona Cluster Mapping</w:t>
      </w:r>
    </w:p>
    <w:p>
      <w:r>
        <w:rPr>
          <w:rFonts w:ascii="Times New Roman" w:hAnsi="Times New Roman"/>
          <w:sz w:val="22"/>
        </w:rPr>
        <w:t xml:space="preserve">  S8. Mass Balance and Human-Water Coupling</w:t>
      </w:r>
    </w:p>
    <w:p>
      <w:r>
        <w:rPr>
          <w:rFonts w:ascii="Times New Roman" w:hAnsi="Times New Roman"/>
          <w:sz w:val="22"/>
        </w:rPr>
        <w:t xml:space="preserve">  S9. Irrigation Governance Summary (Table S6)</w:t>
      </w:r>
    </w:p>
    <w:p>
      <w:r>
        <w:br w:type="page"/>
      </w:r>
    </w:p>
    <w:p>
      <w:pPr>
        <w:pStyle w:val="Heading1"/>
      </w:pPr>
      <w:r>
        <w:rPr>
          <w:rFonts w:ascii="Times New Roman" w:hAnsi="Times New Roman"/>
          <w:color w:val="000000"/>
        </w:rPr>
        <w:t>Part A: Framework-Level</w:t>
      </w:r>
    </w:p>
    <w:p>
      <w:pPr>
        <w:pStyle w:val="Heading1"/>
      </w:pPr>
      <w:r>
        <w:rPr>
          <w:rFonts w:ascii="Times New Roman" w:hAnsi="Times New Roman"/>
          <w:color w:val="000000"/>
        </w:rPr>
        <w:t>S1. Prompt Templates and Response Format</w:t>
      </w:r>
    </w:p>
    <w:p>
      <w:pPr>
        <w:spacing w:after="120" w:line="480" w:lineRule="auto"/>
      </w:pPr>
      <w:r>
        <w:rPr>
          <w:rFonts w:ascii="Times New Roman" w:hAnsi="Times New Roman"/>
          <w:sz w:val="24"/>
        </w:rPr>
        <w:t>This section documents the complete prompt templates and structured response formats used in the Water Agent Governance Framework (WAGF). The framework implements two distinct agent-based models: (1) a flood adaptation model using Protection Motivation Theory (PMT) constructs, and (2) an irrigation demand management model using dual-appraisal cognitive constructs (Water Scarcity Assessment and Adaptive Capacity Assessment). Both models use large language models (LLMs) to generate agent decisions within governance-constrained environments.</w:t>
      </w:r>
    </w:p>
    <w:p>
      <w:pPr>
        <w:pStyle w:val="Heading2"/>
      </w:pPr>
      <w:r>
        <w:rPr>
          <w:rFonts w:ascii="Times New Roman" w:hAnsi="Times New Roman"/>
          <w:color w:val="000000"/>
        </w:rPr>
        <w:t>S1.1 Flood Homeowner Prompt Template</w:t>
      </w:r>
    </w:p>
    <w:p>
      <w:pPr>
        <w:spacing w:after="120" w:line="480" w:lineRule="auto"/>
      </w:pPr>
      <w:r>
        <w:rPr>
          <w:rFonts w:ascii="Times New Roman" w:hAnsi="Times New Roman"/>
          <w:sz w:val="24"/>
        </w:rPr>
        <w:t>The flood homeowner prompt integrates multiple information sources to simulate realistic decision-making under uncertainty. The template combines personal situation awareness, historical flood experience, episodic memory retrieval, social influence, institutional messaging, and financial constraints.</w:t>
      </w:r>
    </w:p>
    <w:p>
      <w:pPr>
        <w:pStyle w:val="Heading3"/>
      </w:pPr>
      <w:r>
        <w:rPr>
          <w:rFonts w:ascii="Times New Roman" w:hAnsi="Times New Roman"/>
          <w:color w:val="000000"/>
        </w:rPr>
        <w:t>Complete Template</w:t>
      </w:r>
    </w:p>
    <w:p>
      <w:pPr>
        <w:spacing w:before="120" w:after="120"/>
        <w:ind w:left="567"/>
      </w:pPr>
      <w:r>
        <w:rPr>
          <w:rFonts w:ascii="Consolas" w:hAnsi="Consolas"/>
          <w:sz w:val="18"/>
        </w:rPr>
        <w:t>You are a homeowner (Agent ID: {agent_id}) in the Passaic River Basin, New Jersey.</w:t>
        <w:br/>
        <w:br/>
        <w:t>### YOUR SITUATION</w:t>
        <w:br/>
        <w:t>- Income: {income_range}</w:t>
        <w:br/>
        <w:t>- Household Size: {household_size} people</w:t>
        <w:br/>
        <w:t>- Generations in Area: {residency_generations}</w:t>
        <w:br/>
        <w:t>- Flood Zone: {flood_zone}</w:t>
        <w:br/>
        <w:t>- Flood Experience: {flood_experience_summary}</w:t>
        <w:br/>
        <w:t>- Property Value: ${rcv_building:,.0f} (building) + ${rcv_contents:,.0f} (contents)</w:t>
        <w:br/>
        <w:t>- Current Status: {elevation_status_text}</w:t>
        <w:br/>
        <w:t>- Insurance: You currently {insurance_status} flood insurance.</w:t>
        <w:br/>
        <w:br/>
        <w:t>### YOUR FLOOD HISTORY</w:t>
        <w:br/>
        <w:t>- Total flood events experienced: {flood_count}</w:t>
        <w:br/>
        <w:t>- Years since last flood: {years_since_flood}</w:t>
        <w:br/>
        <w:t>- Cumulative damage to date: ${cumulative_damage:,.0f}</w:t>
        <w:br/>
        <w:t>- Cumulative out-of-pocket costs: ${cumulative_oop:,.0f}</w:t>
        <w:br/>
        <w:br/>
        <w:t>### RELEVANT MEMORIES</w:t>
        <w:br/>
        <w:t>{memory}</w:t>
        <w:br/>
        <w:br/>
        <w:t>### CRITICAL RISK ASSESSMENT</w:t>
        <w:br/>
        <w:t>It is crucial to accurately assess your flood risk based on your personal flood history, memories, and current situation. Consider how recent or distant your flood experiences are — threat perceptions naturally evolve with time and new experiences. Your decisions must reflect a realistic understanding of potential dangers and your vulnerability.</w:t>
        <w:br/>
        <w:br/>
        <w:t>### POLICY UPDATES THIS YEAR</w:t>
        <w:br/>
        <w:t>- NJ Government (NJDEP Blue Acres): {govt_message}</w:t>
        <w:br/>
        <w:t>- FEMA/NFIP Insurance: {insurance_message}</w:t>
        <w:br/>
        <w:br/>
        <w:t>### WORLD EVENTS</w:t>
        <w:br/>
        <w:t>{global_news}</w:t>
        <w:br/>
        <w:br/>
        <w:t>### LOCAL NEIGHBORHOOD</w:t>
        <w:br/>
        <w:t>{social_gossip}</w:t>
        <w:br/>
        <w:br/>
        <w:t>### FINANCIAL DETAILS (YOUR SPECIFIC COSTS)</w:t>
        <w:br/>
        <w:t>- Annual NFIP Premium: ${current_premium:,.0f}/year</w:t>
        <w:br/>
        <w:t>- Elevation Subsidy Rate: {subsidy_rate:.0%}</w:t>
        <w:br/>
        <w:t>- Elevation Cost Estimates (before subsidy):</w:t>
        <w:br/>
        <w:t xml:space="preserve">  * 3 feet above BFE: ~$45,000 (your cost after subsidy: ~${elevation_cost_3ft:,.0f})</w:t>
        <w:br/>
        <w:t xml:space="preserve">  * 5 feet above BFE: ~$80,000 (your cost after subsidy: ~${elevation_cost_5ft:,.0f})</w:t>
        <w:br/>
        <w:t xml:space="preserve">  * 8 feet above BFE: ~$150,000 (your cost after subsidy: ~${elevation_cost_8ft:,.0f})</w:t>
        <w:br/>
        <w:t xml:space="preserve">  * NOTE: Elevation requires 6-12 months of construction, temporary relocation, and significant disruption to daily life. Many homeowners find the process stressful and costly beyond the dollar amount.</w:t>
        <w:br/>
        <w:t>- Blue Acres Buyout Offer: ~${buyout_offer:,.0f} (based on property value)</w:t>
        <w:br/>
        <w:t xml:space="preserve">  * NOTE: Accepting a buyout means permanently leaving your home, neighborhood, and community ties. The process typically takes 1-3 years and involves considerable emotional stress.</w:t>
        <w:br/>
        <w:t>- NFIP Deductible: $1,000 (structure) / $1,000 (contents)</w:t>
        <w:br/>
        <w:t>- NFIP Coverage Limits: $250,000 (structure) / $100,000 (contents)</w:t>
        <w:br/>
        <w:t>{insurance_cost_text}</w:t>
        <w:br/>
        <w:br/>
        <w:t>### IMPORTANT: DECISION CALIBRATION CONTEXT</w:t>
        <w:br/>
        <w:t>Consider these empirical base rates as context for your decision:</w:t>
        <w:br/>
        <w:t>- **do_nothing is the most common choice.** 60-70% of homeowners choose do_nothing in any given year. This reflects status quo bias, financial constraints, and competing priorities.</w:t>
        <w:br/>
        <w:t>- **Elevation is uncommon.** Only 3-12% of homeowners ever elevate over a full decade. Elevation is a major undertaking with significant costs and disruption.</w:t>
        <w:br/>
        <w:t>- **Buyout is uncommon.** Fewer than 15% participate in buyout programs. However, severely affected homeowners with repeated flooding may rationally choose buyout.</w:t>
        <w:br/>
        <w:t>- **If your flood zone is LOW:** Structural actions (elevation, buyout) are generally unnecessary. Prefer do_nothing or insurance.</w:t>
        <w:br/>
        <w:t>- **Insurance uptake is moderate.** About 30-50% of homeowners in flood zones have insurance. If you have been personally flooded or are in a HIGH flood zone, insurance is a reasonable choice.</w:t>
        <w:br/>
        <w:t>- **After a flood:** Many homeowners (35-65%) still choose do_nothing even after experiencing flooding — but those with severe damage and adequate resources may take action.</w:t>
        <w:br/>
        <w:br/>
        <w:t>### ADAPTATION OPTIONS</w:t>
        <w:br/>
        <w:t>{options_text}</w:t>
        <w:br/>
        <w:br/>
        <w:t>**Sub-options** (include in your response if applicable):</w:t>
        <w:br/>
        <w:t>- If choosing INSURANCE: specify coverage type (1=Structure+Contents, 2=Contents-only)</w:t>
        <w:br/>
        <w:t>- If choosing ELEVATION: specify feet above Base Flood Elevation (3, 5, or 8 feet)</w:t>
        <w:br/>
        <w:t>- If choosing BUYOUT: this is irreversible (you leave the community permanently)</w:t>
        <w:br/>
        <w:br/>
        <w:t>**Secondary Action** (OPTIONAL):</w:t>
        <w:br/>
        <w:t>You may propose ONE additional action this year if budget allows.</w:t>
        <w:br/>
        <w:t>For example: elevate AND buy insurance, or buy insurance AND do nothing else.</w:t>
        <w:br/>
        <w:t>Set "secondary_decision" to 0 if you only want one action.</w:t>
        <w:br/>
        <w:t>Note: You cannot combine elevation with buyout.</w:t>
        <w:br/>
        <w:br/>
        <w:t>### EVALUATION CRITERIA</w:t>
        <w:br/>
        <w:t>{criteria_definitions}</w:t>
        <w:br/>
        <w:br/>
        <w:t>Rating Scale: {rating_scale}</w:t>
        <w:br/>
        <w:br/>
        <w:t>Based on your situation, memories, financial constraints, and PMT profile, evaluate each criterion and make your decision.</w:t>
        <w:br/>
        <w:t>Respond ONLY with valid JSON in this format:</w:t>
        <w:br/>
        <w:t>{response_format}</w:t>
      </w:r>
    </w:p>
    <w:p>
      <w:pPr>
        <w:pStyle w:val="Heading3"/>
      </w:pPr>
      <w:r>
        <w:rPr>
          <w:rFonts w:ascii="Times New Roman" w:hAnsi="Times New Roman"/>
          <w:color w:val="000000"/>
        </w:rPr>
        <w:t>Placeholder Variable Definitions</w:t>
      </w:r>
    </w:p>
    <w:p>
      <w:pPr>
        <w:spacing w:after="120" w:line="480" w:lineRule="auto"/>
      </w:pPr>
      <w:r>
        <w:rPr>
          <w:rFonts w:ascii="Times New Roman" w:hAnsi="Times New Roman"/>
          <w:sz w:val="24"/>
        </w:rPr>
        <w:t>The template uses dynamic placeholders populated at runtime from agent profiles, simulation state, and memory systems.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jc w:val="left"/>
            </w:pPr>
            <w:r/>
            <w:r>
              <w:rPr>
                <w:rFonts w:ascii="Times New Roman" w:hAnsi="Times New Roman"/>
                <w:b/>
                <w:sz w:val="20"/>
              </w:rPr>
              <w:t>Placeholder</w:t>
            </w:r>
          </w:p>
        </w:tc>
        <w:tc>
          <w:tcPr>
            <w:tcW w:type="dxa" w:w="3024"/>
          </w:tcPr>
          <w:p>
            <w:pPr>
              <w:jc w:val="left"/>
            </w:pPr>
            <w:r/>
            <w:r>
              <w:rPr>
                <w:rFonts w:ascii="Times New Roman" w:hAnsi="Times New Roman"/>
                <w:b/>
                <w:sz w:val="20"/>
              </w:rPr>
              <w:t>Source</w:t>
            </w:r>
          </w:p>
        </w:tc>
        <w:tc>
          <w:tcPr>
            <w:tcW w:type="dxa" w:w="3024"/>
          </w:tcPr>
          <w:p>
            <w:pPr>
              <w:jc w:val="left"/>
            </w:pPr>
            <w:r/>
            <w:r>
              <w:rPr>
                <w:rFonts w:ascii="Times New Roman" w:hAnsi="Times New Roman"/>
                <w:b/>
                <w:sz w:val="20"/>
              </w:rPr>
              <w:t>Description</w:t>
            </w:r>
          </w:p>
        </w:tc>
      </w:tr>
      <w:tr>
        <w:tc>
          <w:tcPr>
            <w:tcW w:type="dxa" w:w="3024"/>
          </w:tcPr>
          <w:p>
            <w:pPr>
              <w:jc w:val="left"/>
            </w:pPr>
            <w:r/>
            <w:r>
              <w:rPr>
                <w:rFonts w:ascii="Times New Roman" w:hAnsi="Times New Roman"/>
                <w:b w:val="0"/>
                <w:sz w:val="20"/>
              </w:rPr>
              <w:t>{agent_id}</w:t>
            </w:r>
          </w:p>
        </w:tc>
        <w:tc>
          <w:tcPr>
            <w:tcW w:type="dxa" w:w="3024"/>
          </w:tcPr>
          <w:p>
            <w:pPr>
              <w:jc w:val="left"/>
            </w:pPr>
            <w:r/>
            <w:r>
              <w:rPr>
                <w:rFonts w:ascii="Times New Roman" w:hAnsi="Times New Roman"/>
                <w:b w:val="0"/>
                <w:sz w:val="20"/>
              </w:rPr>
              <w:t>Agent profile</w:t>
            </w:r>
          </w:p>
        </w:tc>
        <w:tc>
          <w:tcPr>
            <w:tcW w:type="dxa" w:w="3024"/>
          </w:tcPr>
          <w:p>
            <w:pPr>
              <w:jc w:val="left"/>
            </w:pPr>
            <w:r/>
            <w:r>
              <w:rPr>
                <w:rFonts w:ascii="Times New Roman" w:hAnsi="Times New Roman"/>
                <w:b w:val="0"/>
                <w:sz w:val="20"/>
              </w:rPr>
              <w:t>Unique identifier (e.g., "HH_001")</w:t>
            </w:r>
          </w:p>
        </w:tc>
      </w:tr>
      <w:tr>
        <w:tc>
          <w:tcPr>
            <w:tcW w:type="dxa" w:w="3024"/>
          </w:tcPr>
          <w:p>
            <w:pPr>
              <w:jc w:val="left"/>
            </w:pPr>
            <w:r/>
            <w:r>
              <w:rPr>
                <w:rFonts w:ascii="Times New Roman" w:hAnsi="Times New Roman"/>
                <w:b w:val="0"/>
                <w:sz w:val="20"/>
              </w:rPr>
              <w:t>{income_range}</w:t>
            </w:r>
          </w:p>
        </w:tc>
        <w:tc>
          <w:tcPr>
            <w:tcW w:type="dxa" w:w="3024"/>
          </w:tcPr>
          <w:p>
            <w:pPr>
              <w:jc w:val="left"/>
            </w:pPr>
            <w:r/>
            <w:r>
              <w:rPr>
                <w:rFonts w:ascii="Times New Roman" w:hAnsi="Times New Roman"/>
                <w:b w:val="0"/>
                <w:sz w:val="20"/>
              </w:rPr>
              <w:t>Census ACS data</w:t>
            </w:r>
          </w:p>
        </w:tc>
        <w:tc>
          <w:tcPr>
            <w:tcW w:type="dxa" w:w="3024"/>
          </w:tcPr>
          <w:p>
            <w:pPr>
              <w:jc w:val="left"/>
            </w:pPr>
            <w:r/>
            <w:r>
              <w:rPr>
                <w:rFonts w:ascii="Times New Roman" w:hAnsi="Times New Roman"/>
                <w:b w:val="0"/>
                <w:sz w:val="20"/>
              </w:rPr>
              <w:t>Income bracket label (e.g., "50k-75k")</w:t>
            </w:r>
          </w:p>
        </w:tc>
      </w:tr>
      <w:tr>
        <w:tc>
          <w:tcPr>
            <w:tcW w:type="dxa" w:w="3024"/>
          </w:tcPr>
          <w:p>
            <w:pPr>
              <w:jc w:val="left"/>
            </w:pPr>
            <w:r/>
            <w:r>
              <w:rPr>
                <w:rFonts w:ascii="Times New Roman" w:hAnsi="Times New Roman"/>
                <w:b w:val="0"/>
                <w:sz w:val="20"/>
              </w:rPr>
              <w:t>{household_size}</w:t>
            </w:r>
          </w:p>
        </w:tc>
        <w:tc>
          <w:tcPr>
            <w:tcW w:type="dxa" w:w="3024"/>
          </w:tcPr>
          <w:p>
            <w:pPr>
              <w:jc w:val="left"/>
            </w:pPr>
            <w:r/>
            <w:r>
              <w:rPr>
                <w:rFonts w:ascii="Times New Roman" w:hAnsi="Times New Roman"/>
                <w:b w:val="0"/>
                <w:sz w:val="20"/>
              </w:rPr>
              <w:t>Census data</w:t>
            </w:r>
          </w:p>
        </w:tc>
        <w:tc>
          <w:tcPr>
            <w:tcW w:type="dxa" w:w="3024"/>
          </w:tcPr>
          <w:p>
            <w:pPr>
              <w:jc w:val="left"/>
            </w:pPr>
            <w:r/>
            <w:r>
              <w:rPr>
                <w:rFonts w:ascii="Times New Roman" w:hAnsi="Times New Roman"/>
                <w:b w:val="0"/>
                <w:sz w:val="20"/>
              </w:rPr>
              <w:t>Number of household members</w:t>
            </w:r>
          </w:p>
        </w:tc>
      </w:tr>
      <w:tr>
        <w:tc>
          <w:tcPr>
            <w:tcW w:type="dxa" w:w="3024"/>
          </w:tcPr>
          <w:p>
            <w:pPr>
              <w:jc w:val="left"/>
            </w:pPr>
            <w:r/>
            <w:r>
              <w:rPr>
                <w:rFonts w:ascii="Times New Roman" w:hAnsi="Times New Roman"/>
                <w:b w:val="0"/>
                <w:sz w:val="20"/>
              </w:rPr>
              <w:t>{residency_generations}</w:t>
            </w:r>
          </w:p>
        </w:tc>
        <w:tc>
          <w:tcPr>
            <w:tcW w:type="dxa" w:w="3024"/>
          </w:tcPr>
          <w:p>
            <w:pPr>
              <w:jc w:val="left"/>
            </w:pPr>
            <w:r/>
            <w:r>
              <w:rPr>
                <w:rFonts w:ascii="Times New Roman" w:hAnsi="Times New Roman"/>
                <w:b w:val="0"/>
                <w:sz w:val="20"/>
              </w:rPr>
              <w:t>Agent profile</w:t>
            </w:r>
          </w:p>
        </w:tc>
        <w:tc>
          <w:tcPr>
            <w:tcW w:type="dxa" w:w="3024"/>
          </w:tcPr>
          <w:p>
            <w:pPr>
              <w:jc w:val="left"/>
            </w:pPr>
            <w:r/>
            <w:r>
              <w:rPr>
                <w:rFonts w:ascii="Times New Roman" w:hAnsi="Times New Roman"/>
                <w:b w:val="0"/>
                <w:sz w:val="20"/>
              </w:rPr>
              <w:t>Duration of community ties (1-5 generations)</w:t>
            </w:r>
          </w:p>
        </w:tc>
      </w:tr>
      <w:tr>
        <w:tc>
          <w:tcPr>
            <w:tcW w:type="dxa" w:w="3024"/>
          </w:tcPr>
          <w:p>
            <w:pPr>
              <w:jc w:val="left"/>
            </w:pPr>
            <w:r/>
            <w:r>
              <w:rPr>
                <w:rFonts w:ascii="Times New Roman" w:hAnsi="Times New Roman"/>
                <w:b w:val="0"/>
                <w:sz w:val="20"/>
              </w:rPr>
              <w:t>{flood_zone}</w:t>
            </w:r>
          </w:p>
        </w:tc>
        <w:tc>
          <w:tcPr>
            <w:tcW w:type="dxa" w:w="3024"/>
          </w:tcPr>
          <w:p>
            <w:pPr>
              <w:jc w:val="left"/>
            </w:pPr>
            <w:r/>
            <w:r>
              <w:rPr>
                <w:rFonts w:ascii="Times New Roman" w:hAnsi="Times New Roman"/>
                <w:b w:val="0"/>
                <w:sz w:val="20"/>
              </w:rPr>
              <w:t>FEMA flood maps</w:t>
            </w:r>
          </w:p>
        </w:tc>
        <w:tc>
          <w:tcPr>
            <w:tcW w:type="dxa" w:w="3024"/>
          </w:tcPr>
          <w:p>
            <w:pPr>
              <w:jc w:val="left"/>
            </w:pPr>
            <w:r/>
            <w:r>
              <w:rPr>
                <w:rFonts w:ascii="Times New Roman" w:hAnsi="Times New Roman"/>
                <w:b w:val="0"/>
                <w:sz w:val="20"/>
              </w:rPr>
              <w:t>Risk category (LOW, MODERATE, HIGH)</w:t>
            </w:r>
          </w:p>
        </w:tc>
      </w:tr>
      <w:tr>
        <w:tc>
          <w:tcPr>
            <w:tcW w:type="dxa" w:w="3024"/>
          </w:tcPr>
          <w:p>
            <w:pPr>
              <w:jc w:val="left"/>
            </w:pPr>
            <w:r/>
            <w:r>
              <w:rPr>
                <w:rFonts w:ascii="Times New Roman" w:hAnsi="Times New Roman"/>
                <w:b w:val="0"/>
                <w:sz w:val="20"/>
              </w:rPr>
              <w:t>{flood_experience_summary}</w:t>
            </w:r>
          </w:p>
        </w:tc>
        <w:tc>
          <w:tcPr>
            <w:tcW w:type="dxa" w:w="3024"/>
          </w:tcPr>
          <w:p>
            <w:pPr>
              <w:jc w:val="left"/>
            </w:pPr>
            <w:r/>
            <w:r>
              <w:rPr>
                <w:rFonts w:ascii="Times New Roman" w:hAnsi="Times New Roman"/>
                <w:b w:val="0"/>
                <w:sz w:val="20"/>
              </w:rPr>
              <w:t>Simulation history</w:t>
            </w:r>
          </w:p>
        </w:tc>
        <w:tc>
          <w:tcPr>
            <w:tcW w:type="dxa" w:w="3024"/>
          </w:tcPr>
          <w:p>
            <w:pPr>
              <w:jc w:val="left"/>
            </w:pPr>
            <w:r/>
            <w:r>
              <w:rPr>
                <w:rFonts w:ascii="Times New Roman" w:hAnsi="Times New Roman"/>
                <w:b w:val="0"/>
                <w:sz w:val="20"/>
              </w:rPr>
              <w:t>Qualitative summary of past flood exposure</w:t>
            </w:r>
          </w:p>
        </w:tc>
      </w:tr>
      <w:tr>
        <w:tc>
          <w:tcPr>
            <w:tcW w:type="dxa" w:w="3024"/>
          </w:tcPr>
          <w:p>
            <w:pPr>
              <w:jc w:val="left"/>
            </w:pPr>
            <w:r/>
            <w:r>
              <w:rPr>
                <w:rFonts w:ascii="Times New Roman" w:hAnsi="Times New Roman"/>
                <w:b w:val="0"/>
                <w:sz w:val="20"/>
              </w:rPr>
              <w:t>{rcv_building}, {rcv_contents}</w:t>
            </w:r>
          </w:p>
        </w:tc>
        <w:tc>
          <w:tcPr>
            <w:tcW w:type="dxa" w:w="3024"/>
          </w:tcPr>
          <w:p>
            <w:pPr>
              <w:jc w:val="left"/>
            </w:pPr>
            <w:r/>
            <w:r>
              <w:rPr>
                <w:rFonts w:ascii="Times New Roman" w:hAnsi="Times New Roman"/>
                <w:b w:val="0"/>
                <w:sz w:val="20"/>
              </w:rPr>
              <w:t>Property valuations</w:t>
            </w:r>
          </w:p>
        </w:tc>
        <w:tc>
          <w:tcPr>
            <w:tcW w:type="dxa" w:w="3024"/>
          </w:tcPr>
          <w:p>
            <w:pPr>
              <w:jc w:val="left"/>
            </w:pPr>
            <w:r/>
            <w:r>
              <w:rPr>
                <w:rFonts w:ascii="Times New Roman" w:hAnsi="Times New Roman"/>
                <w:b w:val="0"/>
                <w:sz w:val="20"/>
              </w:rPr>
              <w:t>Replacement Cost Value for structure and contents</w:t>
            </w:r>
          </w:p>
        </w:tc>
      </w:tr>
      <w:tr>
        <w:tc>
          <w:tcPr>
            <w:tcW w:type="dxa" w:w="3024"/>
          </w:tcPr>
          <w:p>
            <w:pPr>
              <w:jc w:val="left"/>
            </w:pPr>
            <w:r/>
            <w:r>
              <w:rPr>
                <w:rFonts w:ascii="Times New Roman" w:hAnsi="Times New Roman"/>
                <w:b w:val="0"/>
                <w:sz w:val="20"/>
              </w:rPr>
              <w:t>{elevation_status_text}</w:t>
            </w:r>
          </w:p>
        </w:tc>
        <w:tc>
          <w:tcPr>
            <w:tcW w:type="dxa" w:w="3024"/>
          </w:tcPr>
          <w:p>
            <w:pPr>
              <w:jc w:val="left"/>
            </w:pPr>
            <w:r/>
            <w:r>
              <w:rPr>
                <w:rFonts w:ascii="Times New Roman" w:hAnsi="Times New Roman"/>
                <w:b w:val="0"/>
                <w:sz w:val="20"/>
              </w:rPr>
              <w:t>Agent state</w:t>
            </w:r>
          </w:p>
        </w:tc>
        <w:tc>
          <w:tcPr>
            <w:tcW w:type="dxa" w:w="3024"/>
          </w:tcPr>
          <w:p>
            <w:pPr>
              <w:jc w:val="left"/>
            </w:pPr>
            <w:r/>
            <w:r>
              <w:rPr>
                <w:rFonts w:ascii="Times New Roman" w:hAnsi="Times New Roman"/>
                <w:b w:val="0"/>
                <w:sz w:val="20"/>
              </w:rPr>
              <w:t>Current elevation status (e.g., "Not elevated", "Elevated 5 ft above BFE")</w:t>
            </w:r>
          </w:p>
        </w:tc>
      </w:tr>
      <w:tr>
        <w:tc>
          <w:tcPr>
            <w:tcW w:type="dxa" w:w="3024"/>
          </w:tcPr>
          <w:p>
            <w:pPr>
              <w:jc w:val="left"/>
            </w:pPr>
            <w:r/>
            <w:r>
              <w:rPr>
                <w:rFonts w:ascii="Times New Roman" w:hAnsi="Times New Roman"/>
                <w:b w:val="0"/>
                <w:sz w:val="20"/>
              </w:rPr>
              <w:t>{insurance_status}</w:t>
            </w:r>
          </w:p>
        </w:tc>
        <w:tc>
          <w:tcPr>
            <w:tcW w:type="dxa" w:w="3024"/>
          </w:tcPr>
          <w:p>
            <w:pPr>
              <w:jc w:val="left"/>
            </w:pPr>
            <w:r/>
            <w:r>
              <w:rPr>
                <w:rFonts w:ascii="Times New Roman" w:hAnsi="Times New Roman"/>
                <w:b w:val="0"/>
                <w:sz w:val="20"/>
              </w:rPr>
              <w:t>Agent state</w:t>
            </w:r>
          </w:p>
        </w:tc>
        <w:tc>
          <w:tcPr>
            <w:tcW w:type="dxa" w:w="3024"/>
          </w:tcPr>
          <w:p>
            <w:pPr>
              <w:jc w:val="left"/>
            </w:pPr>
            <w:r/>
            <w:r>
              <w:rPr>
                <w:rFonts w:ascii="Times New Roman" w:hAnsi="Times New Roman"/>
                <w:b w:val="0"/>
                <w:sz w:val="20"/>
              </w:rPr>
              <w:t>Insurance status text ("have" or "do not have")</w:t>
            </w:r>
          </w:p>
        </w:tc>
      </w:tr>
      <w:tr>
        <w:tc>
          <w:tcPr>
            <w:tcW w:type="dxa" w:w="3024"/>
          </w:tcPr>
          <w:p>
            <w:pPr>
              <w:jc w:val="left"/>
            </w:pPr>
            <w:r/>
            <w:r>
              <w:rPr>
                <w:rFonts w:ascii="Times New Roman" w:hAnsi="Times New Roman"/>
                <w:b w:val="0"/>
                <w:sz w:val="20"/>
              </w:rPr>
              <w:t>{flood_count}</w:t>
            </w:r>
          </w:p>
        </w:tc>
        <w:tc>
          <w:tcPr>
            <w:tcW w:type="dxa" w:w="3024"/>
          </w:tcPr>
          <w:p>
            <w:pPr>
              <w:jc w:val="left"/>
            </w:pPr>
            <w:r/>
            <w:r>
              <w:rPr>
                <w:rFonts w:ascii="Times New Roman" w:hAnsi="Times New Roman"/>
                <w:b w:val="0"/>
                <w:sz w:val="20"/>
              </w:rPr>
              <w:t>Event counter</w:t>
            </w:r>
          </w:p>
        </w:tc>
        <w:tc>
          <w:tcPr>
            <w:tcW w:type="dxa" w:w="3024"/>
          </w:tcPr>
          <w:p>
            <w:pPr>
              <w:jc w:val="left"/>
            </w:pPr>
            <w:r/>
            <w:r>
              <w:rPr>
                <w:rFonts w:ascii="Times New Roman" w:hAnsi="Times New Roman"/>
                <w:b w:val="0"/>
                <w:sz w:val="20"/>
              </w:rPr>
              <w:t>Total flood events experienced by agent</w:t>
            </w:r>
          </w:p>
        </w:tc>
      </w:tr>
      <w:tr>
        <w:tc>
          <w:tcPr>
            <w:tcW w:type="dxa" w:w="3024"/>
          </w:tcPr>
          <w:p>
            <w:pPr>
              <w:jc w:val="left"/>
            </w:pPr>
            <w:r/>
            <w:r>
              <w:rPr>
                <w:rFonts w:ascii="Times New Roman" w:hAnsi="Times New Roman"/>
                <w:b w:val="0"/>
                <w:sz w:val="20"/>
              </w:rPr>
              <w:t>{years_since_flood}</w:t>
            </w:r>
          </w:p>
        </w:tc>
        <w:tc>
          <w:tcPr>
            <w:tcW w:type="dxa" w:w="3024"/>
          </w:tcPr>
          <w:p>
            <w:pPr>
              <w:jc w:val="left"/>
            </w:pPr>
            <w:r/>
            <w:r>
              <w:rPr>
                <w:rFonts w:ascii="Times New Roman" w:hAnsi="Times New Roman"/>
                <w:b w:val="0"/>
                <w:sz w:val="20"/>
              </w:rPr>
              <w:t>Temporal calculation</w:t>
            </w:r>
          </w:p>
        </w:tc>
        <w:tc>
          <w:tcPr>
            <w:tcW w:type="dxa" w:w="3024"/>
          </w:tcPr>
          <w:p>
            <w:pPr>
              <w:jc w:val="left"/>
            </w:pPr>
            <w:r/>
            <w:r>
              <w:rPr>
                <w:rFonts w:ascii="Times New Roman" w:hAnsi="Times New Roman"/>
                <w:b w:val="0"/>
                <w:sz w:val="20"/>
              </w:rPr>
              <w:t>Time since most recent flood event</w:t>
            </w:r>
          </w:p>
        </w:tc>
      </w:tr>
      <w:tr>
        <w:tc>
          <w:tcPr>
            <w:tcW w:type="dxa" w:w="3024"/>
          </w:tcPr>
          <w:p>
            <w:pPr>
              <w:jc w:val="left"/>
            </w:pPr>
            <w:r/>
            <w:r>
              <w:rPr>
                <w:rFonts w:ascii="Times New Roman" w:hAnsi="Times New Roman"/>
                <w:b w:val="0"/>
                <w:sz w:val="20"/>
              </w:rPr>
              <w:t>{cumulative_damage}</w:t>
            </w:r>
          </w:p>
        </w:tc>
        <w:tc>
          <w:tcPr>
            <w:tcW w:type="dxa" w:w="3024"/>
          </w:tcPr>
          <w:p>
            <w:pPr>
              <w:jc w:val="left"/>
            </w:pPr>
            <w:r/>
            <w:r>
              <w:rPr>
                <w:rFonts w:ascii="Times New Roman" w:hAnsi="Times New Roman"/>
                <w:b w:val="0"/>
                <w:sz w:val="20"/>
              </w:rPr>
              <w:t>Financial tracking</w:t>
            </w:r>
          </w:p>
        </w:tc>
        <w:tc>
          <w:tcPr>
            <w:tcW w:type="dxa" w:w="3024"/>
          </w:tcPr>
          <w:p>
            <w:pPr>
              <w:jc w:val="left"/>
            </w:pPr>
            <w:r/>
            <w:r>
              <w:rPr>
                <w:rFonts w:ascii="Times New Roman" w:hAnsi="Times New Roman"/>
                <w:b w:val="0"/>
                <w:sz w:val="20"/>
              </w:rPr>
              <w:t>Total property damage to date (dollars)</w:t>
            </w:r>
          </w:p>
        </w:tc>
      </w:tr>
      <w:tr>
        <w:tc>
          <w:tcPr>
            <w:tcW w:type="dxa" w:w="3024"/>
          </w:tcPr>
          <w:p>
            <w:pPr>
              <w:jc w:val="left"/>
            </w:pPr>
            <w:r/>
            <w:r>
              <w:rPr>
                <w:rFonts w:ascii="Times New Roman" w:hAnsi="Times New Roman"/>
                <w:b w:val="0"/>
                <w:sz w:val="20"/>
              </w:rPr>
              <w:t>{cumulative_oop}</w:t>
            </w:r>
          </w:p>
        </w:tc>
        <w:tc>
          <w:tcPr>
            <w:tcW w:type="dxa" w:w="3024"/>
          </w:tcPr>
          <w:p>
            <w:pPr>
              <w:jc w:val="left"/>
            </w:pPr>
            <w:r/>
            <w:r>
              <w:rPr>
                <w:rFonts w:ascii="Times New Roman" w:hAnsi="Times New Roman"/>
                <w:b w:val="0"/>
                <w:sz w:val="20"/>
              </w:rPr>
              <w:t>Financial tracking</w:t>
            </w:r>
          </w:p>
        </w:tc>
        <w:tc>
          <w:tcPr>
            <w:tcW w:type="dxa" w:w="3024"/>
          </w:tcPr>
          <w:p>
            <w:pPr>
              <w:jc w:val="left"/>
            </w:pPr>
            <w:r/>
            <w:r>
              <w:rPr>
                <w:rFonts w:ascii="Times New Roman" w:hAnsi="Times New Roman"/>
                <w:b w:val="0"/>
                <w:sz w:val="20"/>
              </w:rPr>
              <w:t>Total out-of-pocket costs (deductibles, uninsured losses)</w:t>
            </w:r>
          </w:p>
        </w:tc>
      </w:tr>
      <w:tr>
        <w:tc>
          <w:tcPr>
            <w:tcW w:type="dxa" w:w="3024"/>
          </w:tcPr>
          <w:p>
            <w:pPr>
              <w:jc w:val="left"/>
            </w:pPr>
            <w:r/>
            <w:r>
              <w:rPr>
                <w:rFonts w:ascii="Times New Roman" w:hAnsi="Times New Roman"/>
                <w:b w:val="0"/>
                <w:sz w:val="20"/>
              </w:rPr>
              <w:t>{memory}</w:t>
            </w:r>
          </w:p>
        </w:tc>
        <w:tc>
          <w:tcPr>
            <w:tcW w:type="dxa" w:w="3024"/>
          </w:tcPr>
          <w:p>
            <w:pPr>
              <w:jc w:val="left"/>
            </w:pPr>
            <w:r/>
            <w:r>
              <w:rPr>
                <w:rFonts w:ascii="Times New Roman" w:hAnsi="Times New Roman"/>
                <w:b w:val="0"/>
                <w:sz w:val="20"/>
              </w:rPr>
              <w:t>HumanCentricMemoryEngine</w:t>
            </w:r>
          </w:p>
        </w:tc>
        <w:tc>
          <w:tcPr>
            <w:tcW w:type="dxa" w:w="3024"/>
          </w:tcPr>
          <w:p>
            <w:pPr>
              <w:jc w:val="left"/>
            </w:pPr>
            <w:r/>
            <w:r>
              <w:rPr>
                <w:rFonts w:ascii="Times New Roman" w:hAnsi="Times New Roman"/>
                <w:b w:val="0"/>
                <w:sz w:val="20"/>
              </w:rPr>
              <w:t>Top-k retrieved episodic memories formatted as narrative text</w:t>
            </w:r>
          </w:p>
        </w:tc>
      </w:tr>
      <w:tr>
        <w:tc>
          <w:tcPr>
            <w:tcW w:type="dxa" w:w="3024"/>
          </w:tcPr>
          <w:p>
            <w:pPr>
              <w:jc w:val="left"/>
            </w:pPr>
            <w:r/>
            <w:r>
              <w:rPr>
                <w:rFonts w:ascii="Times New Roman" w:hAnsi="Times New Roman"/>
                <w:b w:val="0"/>
                <w:sz w:val="20"/>
              </w:rPr>
              <w:t>{govt_message}</w:t>
            </w:r>
          </w:p>
        </w:tc>
        <w:tc>
          <w:tcPr>
            <w:tcW w:type="dxa" w:w="3024"/>
          </w:tcPr>
          <w:p>
            <w:pPr>
              <w:jc w:val="left"/>
            </w:pPr>
            <w:r/>
            <w:r>
              <w:rPr>
                <w:rFonts w:ascii="Times New Roman" w:hAnsi="Times New Roman"/>
                <w:b w:val="0"/>
                <w:sz w:val="20"/>
              </w:rPr>
              <w:t>Institutional agent</w:t>
            </w:r>
          </w:p>
        </w:tc>
        <w:tc>
          <w:tcPr>
            <w:tcW w:type="dxa" w:w="3024"/>
          </w:tcPr>
          <w:p>
            <w:pPr>
              <w:jc w:val="left"/>
            </w:pPr>
            <w:r/>
            <w:r>
              <w:rPr>
                <w:rFonts w:ascii="Times New Roman" w:hAnsi="Times New Roman"/>
                <w:b w:val="0"/>
                <w:sz w:val="20"/>
              </w:rPr>
              <w:t>NJDEP policy announcement (e.g., subsidy rate changes)</w:t>
            </w:r>
          </w:p>
        </w:tc>
      </w:tr>
      <w:tr>
        <w:tc>
          <w:tcPr>
            <w:tcW w:type="dxa" w:w="3024"/>
          </w:tcPr>
          <w:p>
            <w:pPr>
              <w:jc w:val="left"/>
            </w:pPr>
            <w:r/>
            <w:r>
              <w:rPr>
                <w:rFonts w:ascii="Times New Roman" w:hAnsi="Times New Roman"/>
                <w:b w:val="0"/>
                <w:sz w:val="20"/>
              </w:rPr>
              <w:t>{insurance_message}</w:t>
            </w:r>
          </w:p>
        </w:tc>
        <w:tc>
          <w:tcPr>
            <w:tcW w:type="dxa" w:w="3024"/>
          </w:tcPr>
          <w:p>
            <w:pPr>
              <w:jc w:val="left"/>
            </w:pPr>
            <w:r/>
            <w:r>
              <w:rPr>
                <w:rFonts w:ascii="Times New Roman" w:hAnsi="Times New Roman"/>
                <w:b w:val="0"/>
                <w:sz w:val="20"/>
              </w:rPr>
              <w:t>Institutional agent</w:t>
            </w:r>
          </w:p>
        </w:tc>
        <w:tc>
          <w:tcPr>
            <w:tcW w:type="dxa" w:w="3024"/>
          </w:tcPr>
          <w:p>
            <w:pPr>
              <w:jc w:val="left"/>
            </w:pPr>
            <w:r/>
            <w:r>
              <w:rPr>
                <w:rFonts w:ascii="Times New Roman" w:hAnsi="Times New Roman"/>
                <w:b w:val="0"/>
                <w:sz w:val="20"/>
              </w:rPr>
              <w:t>FEMA/NFIP policy updates (e.g., premium adjustments)</w:t>
            </w:r>
          </w:p>
        </w:tc>
      </w:tr>
      <w:tr>
        <w:tc>
          <w:tcPr>
            <w:tcW w:type="dxa" w:w="3024"/>
          </w:tcPr>
          <w:p>
            <w:pPr>
              <w:jc w:val="left"/>
            </w:pPr>
            <w:r/>
            <w:r>
              <w:rPr>
                <w:rFonts w:ascii="Times New Roman" w:hAnsi="Times New Roman"/>
                <w:b w:val="0"/>
                <w:sz w:val="20"/>
              </w:rPr>
              <w:t>{global_news}</w:t>
            </w:r>
          </w:p>
        </w:tc>
        <w:tc>
          <w:tcPr>
            <w:tcW w:type="dxa" w:w="3024"/>
          </w:tcPr>
          <w:p>
            <w:pPr>
              <w:jc w:val="left"/>
            </w:pPr>
            <w:r/>
            <w:r>
              <w:rPr>
                <w:rFonts w:ascii="Times New Roman" w:hAnsi="Times New Roman"/>
                <w:b w:val="0"/>
                <w:sz w:val="20"/>
              </w:rPr>
              <w:t>News module</w:t>
            </w:r>
          </w:p>
        </w:tc>
        <w:tc>
          <w:tcPr>
            <w:tcW w:type="dxa" w:w="3024"/>
          </w:tcPr>
          <w:p>
            <w:pPr>
              <w:jc w:val="left"/>
            </w:pPr>
            <w:r/>
            <w:r>
              <w:rPr>
                <w:rFonts w:ascii="Times New Roman" w:hAnsi="Times New Roman"/>
                <w:b w:val="0"/>
                <w:sz w:val="20"/>
              </w:rPr>
              <w:t>General climate/weather headlines</w:t>
            </w:r>
          </w:p>
        </w:tc>
      </w:tr>
      <w:tr>
        <w:tc>
          <w:tcPr>
            <w:tcW w:type="dxa" w:w="3024"/>
          </w:tcPr>
          <w:p>
            <w:pPr>
              <w:jc w:val="left"/>
            </w:pPr>
            <w:r/>
            <w:r>
              <w:rPr>
                <w:rFonts w:ascii="Times New Roman" w:hAnsi="Times New Roman"/>
                <w:b w:val="0"/>
                <w:sz w:val="20"/>
              </w:rPr>
              <w:t>{social_gossip}</w:t>
            </w:r>
          </w:p>
        </w:tc>
        <w:tc>
          <w:tcPr>
            <w:tcW w:type="dxa" w:w="3024"/>
          </w:tcPr>
          <w:p>
            <w:pPr>
              <w:jc w:val="left"/>
            </w:pPr>
            <w:r/>
            <w:r>
              <w:rPr>
                <w:rFonts w:ascii="Times New Roman" w:hAnsi="Times New Roman"/>
                <w:b w:val="0"/>
                <w:sz w:val="20"/>
              </w:rPr>
              <w:t>Social network module</w:t>
            </w:r>
          </w:p>
        </w:tc>
        <w:tc>
          <w:tcPr>
            <w:tcW w:type="dxa" w:w="3024"/>
          </w:tcPr>
          <w:p>
            <w:pPr>
              <w:jc w:val="left"/>
            </w:pPr>
            <w:r/>
            <w:r>
              <w:rPr>
                <w:rFonts w:ascii="Times New Roman" w:hAnsi="Times New Roman"/>
                <w:b w:val="0"/>
                <w:sz w:val="20"/>
              </w:rPr>
              <w:t>Neighbor decision summaries (up to 2 contacts)</w:t>
            </w:r>
          </w:p>
        </w:tc>
      </w:tr>
      <w:tr>
        <w:tc>
          <w:tcPr>
            <w:tcW w:type="dxa" w:w="3024"/>
          </w:tcPr>
          <w:p>
            <w:pPr>
              <w:jc w:val="left"/>
            </w:pPr>
            <w:r/>
            <w:r>
              <w:rPr>
                <w:rFonts w:ascii="Times New Roman" w:hAnsi="Times New Roman"/>
                <w:b w:val="0"/>
                <w:sz w:val="20"/>
              </w:rPr>
              <w:t>{current_premium}</w:t>
            </w:r>
          </w:p>
        </w:tc>
        <w:tc>
          <w:tcPr>
            <w:tcW w:type="dxa" w:w="3024"/>
          </w:tcPr>
          <w:p>
            <w:pPr>
              <w:jc w:val="left"/>
            </w:pPr>
            <w:r/>
            <w:r>
              <w:rPr>
                <w:rFonts w:ascii="Times New Roman" w:hAnsi="Times New Roman"/>
                <w:b w:val="0"/>
                <w:sz w:val="20"/>
              </w:rPr>
              <w:t>Insurance calculator</w:t>
            </w:r>
          </w:p>
        </w:tc>
        <w:tc>
          <w:tcPr>
            <w:tcW w:type="dxa" w:w="3024"/>
          </w:tcPr>
          <w:p>
            <w:pPr>
              <w:jc w:val="left"/>
            </w:pPr>
            <w:r/>
            <w:r>
              <w:rPr>
                <w:rFonts w:ascii="Times New Roman" w:hAnsi="Times New Roman"/>
                <w:b w:val="0"/>
                <w:sz w:val="20"/>
              </w:rPr>
              <w:t>Agent-specific annual NFIP premium</w:t>
            </w:r>
          </w:p>
        </w:tc>
      </w:tr>
      <w:tr>
        <w:tc>
          <w:tcPr>
            <w:tcW w:type="dxa" w:w="3024"/>
          </w:tcPr>
          <w:p>
            <w:pPr>
              <w:jc w:val="left"/>
            </w:pPr>
            <w:r/>
            <w:r>
              <w:rPr>
                <w:rFonts w:ascii="Times New Roman" w:hAnsi="Times New Roman"/>
                <w:b w:val="0"/>
                <w:sz w:val="20"/>
              </w:rPr>
              <w:t>{subsidy_rate}</w:t>
            </w:r>
          </w:p>
        </w:tc>
        <w:tc>
          <w:tcPr>
            <w:tcW w:type="dxa" w:w="3024"/>
          </w:tcPr>
          <w:p>
            <w:pPr>
              <w:jc w:val="left"/>
            </w:pPr>
            <w:r/>
            <w:r>
              <w:rPr>
                <w:rFonts w:ascii="Times New Roman" w:hAnsi="Times New Roman"/>
                <w:b w:val="0"/>
                <w:sz w:val="20"/>
              </w:rPr>
              <w:t>Policy parameter</w:t>
            </w:r>
          </w:p>
        </w:tc>
        <w:tc>
          <w:tcPr>
            <w:tcW w:type="dxa" w:w="3024"/>
          </w:tcPr>
          <w:p>
            <w:pPr>
              <w:jc w:val="left"/>
            </w:pPr>
            <w:r/>
            <w:r>
              <w:rPr>
                <w:rFonts w:ascii="Times New Roman" w:hAnsi="Times New Roman"/>
                <w:b w:val="0"/>
                <w:sz w:val="20"/>
              </w:rPr>
              <w:t>Current government subsidy percentage for elevation</w:t>
            </w:r>
          </w:p>
        </w:tc>
      </w:tr>
      <w:tr>
        <w:tc>
          <w:tcPr>
            <w:tcW w:type="dxa" w:w="3024"/>
          </w:tcPr>
          <w:p>
            <w:pPr>
              <w:jc w:val="left"/>
            </w:pPr>
            <w:r/>
            <w:r>
              <w:rPr>
                <w:rFonts w:ascii="Times New Roman" w:hAnsi="Times New Roman"/>
                <w:b w:val="0"/>
                <w:sz w:val="20"/>
              </w:rPr>
              <w:t>{elevation_cost_3ft}, {elevation_cost_5ft}, {elevation_cost_8ft}</w:t>
            </w:r>
          </w:p>
        </w:tc>
        <w:tc>
          <w:tcPr>
            <w:tcW w:type="dxa" w:w="3024"/>
          </w:tcPr>
          <w:p>
            <w:pPr>
              <w:jc w:val="left"/>
            </w:pPr>
            <w:r/>
            <w:r>
              <w:rPr>
                <w:rFonts w:ascii="Times New Roman" w:hAnsi="Times New Roman"/>
                <w:b w:val="0"/>
                <w:sz w:val="20"/>
              </w:rPr>
              <w:t>Cost calculator</w:t>
            </w:r>
          </w:p>
        </w:tc>
        <w:tc>
          <w:tcPr>
            <w:tcW w:type="dxa" w:w="3024"/>
          </w:tcPr>
          <w:p>
            <w:pPr>
              <w:jc w:val="left"/>
            </w:pPr>
            <w:r/>
            <w:r>
              <w:rPr>
                <w:rFonts w:ascii="Times New Roman" w:hAnsi="Times New Roman"/>
                <w:b w:val="0"/>
                <w:sz w:val="20"/>
              </w:rPr>
              <w:t>Agent-specific post-subsidy elevation costs</w:t>
            </w:r>
          </w:p>
        </w:tc>
      </w:tr>
      <w:tr>
        <w:tc>
          <w:tcPr>
            <w:tcW w:type="dxa" w:w="3024"/>
          </w:tcPr>
          <w:p>
            <w:pPr>
              <w:jc w:val="left"/>
            </w:pPr>
            <w:r/>
            <w:r>
              <w:rPr>
                <w:rFonts w:ascii="Times New Roman" w:hAnsi="Times New Roman"/>
                <w:b w:val="0"/>
                <w:sz w:val="20"/>
              </w:rPr>
              <w:t>{buyout_offer}</w:t>
            </w:r>
          </w:p>
        </w:tc>
        <w:tc>
          <w:tcPr>
            <w:tcW w:type="dxa" w:w="3024"/>
          </w:tcPr>
          <w:p>
            <w:pPr>
              <w:jc w:val="left"/>
            </w:pPr>
            <w:r/>
            <w:r>
              <w:rPr>
                <w:rFonts w:ascii="Times New Roman" w:hAnsi="Times New Roman"/>
                <w:b w:val="0"/>
                <w:sz w:val="20"/>
              </w:rPr>
              <w:t>Valuation formula</w:t>
            </w:r>
          </w:p>
        </w:tc>
        <w:tc>
          <w:tcPr>
            <w:tcW w:type="dxa" w:w="3024"/>
          </w:tcPr>
          <w:p>
            <w:pPr>
              <w:jc w:val="left"/>
            </w:pPr>
            <w:r/>
            <w:r>
              <w:rPr>
                <w:rFonts w:ascii="Times New Roman" w:hAnsi="Times New Roman"/>
                <w:b w:val="0"/>
                <w:sz w:val="20"/>
              </w:rPr>
              <w:t>Blue Acres buyout offer based on property value</w:t>
            </w:r>
          </w:p>
        </w:tc>
      </w:tr>
      <w:tr>
        <w:tc>
          <w:tcPr>
            <w:tcW w:type="dxa" w:w="3024"/>
          </w:tcPr>
          <w:p>
            <w:pPr>
              <w:jc w:val="left"/>
            </w:pPr>
            <w:r/>
            <w:r>
              <w:rPr>
                <w:rFonts w:ascii="Times New Roman" w:hAnsi="Times New Roman"/>
                <w:b w:val="0"/>
                <w:sz w:val="20"/>
              </w:rPr>
              <w:t>{insurance_cost_text}</w:t>
            </w:r>
          </w:p>
        </w:tc>
        <w:tc>
          <w:tcPr>
            <w:tcW w:type="dxa" w:w="3024"/>
          </w:tcPr>
          <w:p>
            <w:pPr>
              <w:jc w:val="left"/>
            </w:pPr>
            <w:r/>
            <w:r>
              <w:rPr>
                <w:rFonts w:ascii="Times New Roman" w:hAnsi="Times New Roman"/>
                <w:b w:val="0"/>
                <w:sz w:val="20"/>
              </w:rPr>
              <w:t>Insurance module</w:t>
            </w:r>
          </w:p>
        </w:tc>
        <w:tc>
          <w:tcPr>
            <w:tcW w:type="dxa" w:w="3024"/>
          </w:tcPr>
          <w:p>
            <w:pPr>
              <w:jc w:val="left"/>
            </w:pPr>
            <w:r/>
            <w:r>
              <w:rPr>
                <w:rFonts w:ascii="Times New Roman" w:hAnsi="Times New Roman"/>
                <w:b w:val="0"/>
                <w:sz w:val="20"/>
              </w:rPr>
              <w:t>Additional premium details if already insured</w:t>
            </w:r>
          </w:p>
        </w:tc>
      </w:tr>
      <w:tr>
        <w:tc>
          <w:tcPr>
            <w:tcW w:type="dxa" w:w="3024"/>
          </w:tcPr>
          <w:p>
            <w:pPr>
              <w:jc w:val="left"/>
            </w:pPr>
            <w:r/>
            <w:r>
              <w:rPr>
                <w:rFonts w:ascii="Times New Roman" w:hAnsi="Times New Roman"/>
                <w:b w:val="0"/>
                <w:sz w:val="20"/>
              </w:rPr>
              <w:t>{options_text}</w:t>
            </w:r>
          </w:p>
        </w:tc>
        <w:tc>
          <w:tcPr>
            <w:tcW w:type="dxa" w:w="3024"/>
          </w:tcPr>
          <w:p>
            <w:pPr>
              <w:jc w:val="left"/>
            </w:pPr>
            <w:r/>
            <w:r>
              <w:rPr>
                <w:rFonts w:ascii="Times New Roman" w:hAnsi="Times New Roman"/>
                <w:b w:val="0"/>
                <w:sz w:val="20"/>
              </w:rPr>
              <w:t>Skill registry</w:t>
            </w:r>
          </w:p>
        </w:tc>
        <w:tc>
          <w:tcPr>
            <w:tcW w:type="dxa" w:w="3024"/>
          </w:tcPr>
          <w:p>
            <w:pPr>
              <w:jc w:val="left"/>
            </w:pPr>
            <w:r/>
            <w:r>
              <w:rPr>
                <w:rFonts w:ascii="Times New Roman" w:hAnsi="Times New Roman"/>
                <w:b w:val="0"/>
                <w:sz w:val="20"/>
              </w:rPr>
              <w:t>Formatted list of available actions (do_nothing, buy_insurance, elevate_house, buyout_program)</w:t>
            </w:r>
          </w:p>
        </w:tc>
      </w:tr>
      <w:tr>
        <w:tc>
          <w:tcPr>
            <w:tcW w:type="dxa" w:w="3024"/>
          </w:tcPr>
          <w:p>
            <w:pPr>
              <w:jc w:val="left"/>
            </w:pPr>
            <w:r/>
            <w:r>
              <w:rPr>
                <w:rFonts w:ascii="Times New Roman" w:hAnsi="Times New Roman"/>
                <w:b w:val="0"/>
                <w:sz w:val="20"/>
              </w:rPr>
              <w:t>{criteria_definitions}</w:t>
            </w:r>
          </w:p>
        </w:tc>
        <w:tc>
          <w:tcPr>
            <w:tcW w:type="dxa" w:w="3024"/>
          </w:tcPr>
          <w:p>
            <w:pPr>
              <w:jc w:val="left"/>
            </w:pPr>
            <w:r/>
            <w:r>
              <w:rPr>
                <w:rFonts w:ascii="Times New Roman" w:hAnsi="Times New Roman"/>
                <w:b w:val="0"/>
                <w:sz w:val="20"/>
              </w:rPr>
              <w:t>ma_agent_types.yaml</w:t>
            </w:r>
          </w:p>
        </w:tc>
        <w:tc>
          <w:tcPr>
            <w:tcW w:type="dxa" w:w="3024"/>
          </w:tcPr>
          <w:p>
            <w:pPr>
              <w:jc w:val="left"/>
            </w:pPr>
            <w:r/>
            <w:r>
              <w:rPr>
                <w:rFonts w:ascii="Times New Roman" w:hAnsi="Times New Roman"/>
                <w:b w:val="0"/>
                <w:sz w:val="20"/>
              </w:rPr>
              <w:t>PMT construct definitions (TP, CP, SP, SC, PA)</w:t>
            </w:r>
          </w:p>
        </w:tc>
      </w:tr>
      <w:tr>
        <w:tc>
          <w:tcPr>
            <w:tcW w:type="dxa" w:w="3024"/>
          </w:tcPr>
          <w:p>
            <w:pPr>
              <w:jc w:val="left"/>
            </w:pPr>
            <w:r/>
            <w:r>
              <w:rPr>
                <w:rFonts w:ascii="Times New Roman" w:hAnsi="Times New Roman"/>
                <w:b w:val="0"/>
                <w:sz w:val="20"/>
              </w:rPr>
              <w:t>{rating_scale}</w:t>
            </w:r>
          </w:p>
        </w:tc>
        <w:tc>
          <w:tcPr>
            <w:tcW w:type="dxa" w:w="3024"/>
          </w:tcPr>
          <w:p>
            <w:pPr>
              <w:jc w:val="left"/>
            </w:pPr>
            <w:r/>
            <w:r>
              <w:rPr>
                <w:rFonts w:ascii="Times New Roman" w:hAnsi="Times New Roman"/>
                <w:b w:val="0"/>
                <w:sz w:val="20"/>
              </w:rPr>
              <w:t>Configuration</w:t>
            </w:r>
          </w:p>
        </w:tc>
        <w:tc>
          <w:tcPr>
            <w:tcW w:type="dxa" w:w="3024"/>
          </w:tcPr>
          <w:p>
            <w:pPr>
              <w:jc w:val="left"/>
            </w:pPr>
            <w:r/>
            <w:r>
              <w:rPr>
                <w:rFonts w:ascii="Times New Roman" w:hAnsi="Times New Roman"/>
                <w:b w:val="0"/>
                <w:sz w:val="20"/>
              </w:rPr>
              <w:t>Five-point scale definition (VL, L, M, H, VH)</w:t>
            </w:r>
          </w:p>
        </w:tc>
      </w:tr>
      <w:tr>
        <w:tc>
          <w:tcPr>
            <w:tcW w:type="dxa" w:w="3024"/>
          </w:tcPr>
          <w:p>
            <w:pPr>
              <w:jc w:val="left"/>
            </w:pPr>
            <w:r/>
            <w:r>
              <w:rPr>
                <w:rFonts w:ascii="Times New Roman" w:hAnsi="Times New Roman"/>
                <w:b w:val="0"/>
                <w:sz w:val="20"/>
              </w:rPr>
              <w:t>{response_format}</w:t>
            </w:r>
          </w:p>
        </w:tc>
        <w:tc>
          <w:tcPr>
            <w:tcW w:type="dxa" w:w="3024"/>
          </w:tcPr>
          <w:p>
            <w:pPr>
              <w:jc w:val="left"/>
            </w:pPr>
            <w:r/>
            <w:r>
              <w:rPr>
                <w:rFonts w:ascii="Times New Roman" w:hAnsi="Times New Roman"/>
                <w:b w:val="0"/>
                <w:sz w:val="20"/>
              </w:rPr>
              <w:t>Configuration</w:t>
            </w:r>
          </w:p>
        </w:tc>
        <w:tc>
          <w:tcPr>
            <w:tcW w:type="dxa" w:w="3024"/>
          </w:tcPr>
          <w:p>
            <w:pPr>
              <w:jc w:val="left"/>
            </w:pPr>
            <w:r/>
            <w:r>
              <w:rPr>
                <w:rFonts w:ascii="Times New Roman" w:hAnsi="Times New Roman"/>
                <w:b w:val="0"/>
                <w:sz w:val="20"/>
              </w:rPr>
              <w:t>JSON schema with field specifications and delimiter markers</w:t>
            </w:r>
          </w:p>
        </w:tc>
      </w:tr>
    </w:tbl>
    <w:p/>
    <w:p>
      <w:pPr>
        <w:pStyle w:val="Heading3"/>
      </w:pPr>
      <w:r>
        <w:rPr>
          <w:rFonts w:ascii="Times New Roman" w:hAnsi="Times New Roman"/>
          <w:color w:val="000000"/>
        </w:rPr>
        <w:t>Design Rationale</w:t>
      </w:r>
    </w:p>
    <w:p>
      <w:pPr>
        <w:spacing w:after="120" w:line="480" w:lineRule="auto"/>
      </w:pPr>
      <w:r>
        <w:rPr>
          <w:rFonts w:ascii="Times New Roman" w:hAnsi="Times New Roman"/>
          <w:sz w:val="24"/>
        </w:rPr>
        <w:t>Decision Calibration Context (lines 49-56). This section injects empirical base rates from FEMA and NFIP literature to anchor LLM output distributions. Without this anchoring, small LLMs (under 12B parameters) tend to over-select dramatic actions (elevation, buyout) relative to observed human behavior. The calibration text explicitly states that do_nothing is the modal choice (60-70% annually) and that structural adaptations are uncommon (3-12% for elevation over a decade). This design addresses the known tendency of instruction-tuned models to generate "interesting" or "proactive" decisions that diverge from empirical distributions.</w:t>
      </w:r>
    </w:p>
    <w:p>
      <w:pPr>
        <w:spacing w:after="120" w:line="480" w:lineRule="auto"/>
      </w:pPr>
      <w:r>
        <w:rPr>
          <w:rFonts w:ascii="Times New Roman" w:hAnsi="Times New Roman"/>
          <w:sz w:val="24"/>
        </w:rPr>
        <w:t>Episodic Memory Integration (line 20). The {memory} placeholder retrieves top-k significant memories using a weighted scoring function that combines recency, emotional valence, and relevance to current context. The HumanCentricMemoryEngine implements memory consolidation, decay, and arousal-based encoding to simulate realistic long-term memory effects on decision-making.</w:t>
      </w:r>
    </w:p>
    <w:p>
      <w:pPr>
        <w:spacing w:after="120" w:line="480" w:lineRule="auto"/>
      </w:pPr>
      <w:r>
        <w:rPr>
          <w:rFonts w:ascii="Times New Roman" w:hAnsi="Times New Roman"/>
          <w:sz w:val="24"/>
        </w:rPr>
        <w:t>Social Influence (line 33). The {social_gossip} field implements peer effect mechanisms by including summaries of neighbors' recent decisions. This enables diffusion of adaptive behaviors through social networks, consistent with empirical observations of clustered adoption patterns in flood mitigation programs.</w:t>
      </w:r>
    </w:p>
    <w:p>
      <w:pPr>
        <w:spacing w:after="120" w:line="480" w:lineRule="auto"/>
      </w:pPr>
      <w:r>
        <w:rPr>
          <w:rFonts w:ascii="Times New Roman" w:hAnsi="Times New Roman"/>
          <w:sz w:val="24"/>
        </w:rPr>
        <w:t>Financial Transparency. Lines 35-47 provide complete cost information specific to each agent's financial situation (post-subsidy costs, income-adjusted premiums). This transparency is critical for realistic cost-benefit reasoning by LLMs.</w:t>
      </w:r>
    </w:p>
    <w:p>
      <w:pPr>
        <w:pStyle w:val="Heading2"/>
      </w:pPr>
      <w:r>
        <w:rPr>
          <w:rFonts w:ascii="Times New Roman" w:hAnsi="Times New Roman"/>
          <w:color w:val="000000"/>
        </w:rPr>
        <w:t>S1.2 Irrigation Farmer Prompt Template</w:t>
      </w:r>
    </w:p>
    <w:p>
      <w:pPr>
        <w:spacing w:after="120" w:line="480" w:lineRule="auto"/>
      </w:pPr>
      <w:r>
        <w:rPr>
          <w:rFonts w:ascii="Times New Roman" w:hAnsi="Times New Roman"/>
          <w:sz w:val="24"/>
        </w:rPr>
        <w:t>The irrigation farmer prompt uses a chain-of-thought structure that forces sequential appraisal steps before action selection. This design reflects the dual-appraisal framework from stress and coping theory (Lazarus &amp; Folkman, 1984), operationalized as Water Scarcity Assessment (WSA) and Adaptive Capacity Assessment (ACA).</w:t>
      </w:r>
    </w:p>
    <w:p>
      <w:pPr>
        <w:pStyle w:val="Heading3"/>
      </w:pPr>
      <w:r>
        <w:rPr>
          <w:rFonts w:ascii="Times New Roman" w:hAnsi="Times New Roman"/>
          <w:color w:val="000000"/>
        </w:rPr>
        <w:t>Complete Template</w:t>
      </w:r>
    </w:p>
    <w:p>
      <w:pPr>
        <w:spacing w:before="120" w:after="120"/>
        <w:ind w:left="567"/>
      </w:pPr>
      <w:r>
        <w:rPr>
          <w:rFonts w:ascii="Consolas" w:hAnsi="Consolas"/>
          <w:sz w:val="18"/>
        </w:rPr>
        <w:t>{narrative_persona}</w:t>
        <w:br/>
        <w:t>{water_situation_text}</w:t>
        <w:br/>
        <w:t>{feedback_dashboard}</w:t>
        <w:br/>
        <w:t>Your memory includes:</w:t>
        <w:br/>
        <w:t>{memory}</w:t>
        <w:br/>
        <w:br/>
        <w:t>You currently {conservation_status} water conservation practices.</w:t>
        <w:br/>
        <w:t>Your ability to implement changes to your water management is {aca_hint}.</w:t>
        <w:br/>
        <w:t>You {trust_forecasts_text} climate and hydrological forecasts. You {trust_neighbors_text} neighboring farmers' water management advice.</w:t>
        <w:br/>
        <w:br/>
        <w:t>First, assess your WATER SUPPLY situation by considering:</w:t>
        <w:br/>
        <w:t>- Water Supply Outlook: Is your water supply abundant, adequate, tight, or critically short this season?</w:t>
        <w:br/>
        <w:t>- Demand-Supply Balance: Is your current water request well matched to the available supply, or is there a gap?</w:t>
        <w:br/>
        <w:t>Then rate your water_scarcity_assessment.</w:t>
        <w:br/>
        <w:br/>
        <w:t>Next, assess your ADAPTIVE CAPACITY by considering:</w:t>
        <w:br/>
        <w:t>- Capacity to Adjust: How easily could you change your water demand (financial, technical, labor)?</w:t>
        <w:br/>
        <w:t>- Cost of Change: What would it cost you (financially, operationally) to adjust your irrigation practices?</w:t>
        <w:br/>
        <w:t>- Benefit of Current Path: What is the advantage of keeping your current water demand level unchanged?</w:t>
        <w:br/>
        <w:t>Then rate your adaptive_capacity_assessment.</w:t>
        <w:br/>
        <w:br/>
        <w:t>Now, choose one of the following water management actions:</w:t>
        <w:br/>
        <w:t>{options_text}</w:t>
        <w:br/>
        <w:t>Your decision should reflect your farming philosophy and risk tolerance.</w:t>
        <w:br/>
        <w:br/>
        <w:t>{rating_scale}</w:t>
        <w:br/>
        <w:br/>
        <w:t>Please respond using the EXACT JSON format below.</w:t>
        <w:br/>
        <w:t>- Use EXACTLY one of: VL, L, M, H, VH for each appraisal label.</w:t>
        <w:br/>
        <w:t>- "decision" MUST be the NUMERIC ID (1-5) from the options list.</w:t>
        <w:br/>
        <w:t>- Ensure all keys match the format exactly.</w:t>
        <w:br/>
        <w:t>{response_format}</w:t>
      </w:r>
    </w:p>
    <w:p>
      <w:pPr>
        <w:pStyle w:val="Heading3"/>
      </w:pPr>
      <w:r>
        <w:rPr>
          <w:rFonts w:ascii="Times New Roman" w:hAnsi="Times New Roman"/>
          <w:color w:val="000000"/>
        </w:rPr>
        <w:t>Placeholder Variable Definitions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jc w:val="left"/>
            </w:pPr>
            <w:r/>
            <w:r>
              <w:rPr>
                <w:rFonts w:ascii="Times New Roman" w:hAnsi="Times New Roman"/>
                <w:b/>
                <w:sz w:val="20"/>
              </w:rPr>
              <w:t>Placeholder</w:t>
            </w:r>
          </w:p>
        </w:tc>
        <w:tc>
          <w:tcPr>
            <w:tcW w:type="dxa" w:w="3024"/>
          </w:tcPr>
          <w:p>
            <w:pPr>
              <w:jc w:val="left"/>
            </w:pPr>
            <w:r/>
            <w:r>
              <w:rPr>
                <w:rFonts w:ascii="Times New Roman" w:hAnsi="Times New Roman"/>
                <w:b/>
                <w:sz w:val="20"/>
              </w:rPr>
              <w:t>Source</w:t>
            </w:r>
          </w:p>
        </w:tc>
        <w:tc>
          <w:tcPr>
            <w:tcW w:type="dxa" w:w="3024"/>
          </w:tcPr>
          <w:p>
            <w:pPr>
              <w:jc w:val="left"/>
            </w:pPr>
            <w:r/>
            <w:r>
              <w:rPr>
                <w:rFonts w:ascii="Times New Roman" w:hAnsi="Times New Roman"/>
                <w:b/>
                <w:sz w:val="20"/>
              </w:rPr>
              <w:t>Description</w:t>
            </w:r>
          </w:p>
        </w:tc>
      </w:tr>
      <w:tr>
        <w:tc>
          <w:tcPr>
            <w:tcW w:type="dxa" w:w="3024"/>
          </w:tcPr>
          <w:p>
            <w:pPr>
              <w:jc w:val="left"/>
            </w:pPr>
            <w:r/>
            <w:r>
              <w:rPr>
                <w:rFonts w:ascii="Times New Roman" w:hAnsi="Times New Roman"/>
                <w:b w:val="0"/>
                <w:sz w:val="20"/>
              </w:rPr>
              <w:t>{narrative_persona}</w:t>
            </w:r>
          </w:p>
        </w:tc>
        <w:tc>
          <w:tcPr>
            <w:tcW w:type="dxa" w:w="3024"/>
          </w:tcPr>
          <w:p>
            <w:pPr>
              <w:jc w:val="left"/>
            </w:pPr>
            <w:r/>
            <w:r>
              <w:rPr>
                <w:rFonts w:ascii="Times New Roman" w:hAnsi="Times New Roman"/>
                <w:b w:val="0"/>
                <w:sz w:val="20"/>
              </w:rPr>
              <w:t>irrigation_personas.py</w:t>
            </w:r>
          </w:p>
        </w:tc>
        <w:tc>
          <w:tcPr>
            <w:tcW w:type="dxa" w:w="3024"/>
          </w:tcPr>
          <w:p>
            <w:pPr>
              <w:jc w:val="left"/>
            </w:pPr>
            <w:r/>
            <w:r>
              <w:rPr>
                <w:rFonts w:ascii="Times New Roman" w:hAnsi="Times New Roman"/>
                <w:b w:val="0"/>
                <w:sz w:val="20"/>
              </w:rPr>
              <w:t>Cluster-specific personality text (2-3 sentences describing behavioral archetype)</w:t>
            </w:r>
          </w:p>
        </w:tc>
      </w:tr>
      <w:tr>
        <w:tc>
          <w:tcPr>
            <w:tcW w:type="dxa" w:w="3024"/>
          </w:tcPr>
          <w:p>
            <w:pPr>
              <w:jc w:val="left"/>
            </w:pPr>
            <w:r/>
            <w:r>
              <w:rPr>
                <w:rFonts w:ascii="Times New Roman" w:hAnsi="Times New Roman"/>
                <w:b w:val="0"/>
                <w:sz w:val="20"/>
              </w:rPr>
              <w:t>{water_situation_text}</w:t>
            </w:r>
          </w:p>
        </w:tc>
        <w:tc>
          <w:tcPr>
            <w:tcW w:type="dxa" w:w="3024"/>
          </w:tcPr>
          <w:p>
            <w:pPr>
              <w:jc w:val="left"/>
            </w:pPr>
            <w:r/>
            <w:r>
              <w:rPr>
                <w:rFonts w:ascii="Times New Roman" w:hAnsi="Times New Roman"/>
                <w:b w:val="0"/>
                <w:sz w:val="20"/>
              </w:rPr>
              <w:t>IrrigationEnvironment</w:t>
            </w:r>
          </w:p>
        </w:tc>
        <w:tc>
          <w:tcPr>
            <w:tcW w:type="dxa" w:w="3024"/>
          </w:tcPr>
          <w:p>
            <w:pPr>
              <w:jc w:val="left"/>
            </w:pPr>
            <w:r/>
            <w:r>
              <w:rPr>
                <w:rFonts w:ascii="Times New Roman" w:hAnsi="Times New Roman"/>
                <w:b w:val="0"/>
                <w:sz w:val="20"/>
              </w:rPr>
              <w:t>Current year signals: precipitation percentile, Lake Mead elevation, shortage tier (0-3), drought index</w:t>
            </w:r>
          </w:p>
        </w:tc>
      </w:tr>
      <w:tr>
        <w:tc>
          <w:tcPr>
            <w:tcW w:type="dxa" w:w="3024"/>
          </w:tcPr>
          <w:p>
            <w:pPr>
              <w:jc w:val="left"/>
            </w:pPr>
            <w:r/>
            <w:r>
              <w:rPr>
                <w:rFonts w:ascii="Times New Roman" w:hAnsi="Times New Roman"/>
                <w:b w:val="0"/>
                <w:sz w:val="20"/>
              </w:rPr>
              <w:t>{feedback_dashboard}</w:t>
            </w:r>
          </w:p>
        </w:tc>
        <w:tc>
          <w:tcPr>
            <w:tcW w:type="dxa" w:w="3024"/>
          </w:tcPr>
          <w:p>
            <w:pPr>
              <w:jc w:val="left"/>
            </w:pPr>
            <w:r/>
            <w:r>
              <w:rPr>
                <w:rFonts w:ascii="Times New Roman" w:hAnsi="Times New Roman"/>
                <w:b w:val="0"/>
                <w:sz w:val="20"/>
              </w:rPr>
              <w:t>run_experiment.py</w:t>
            </w:r>
          </w:p>
        </w:tc>
        <w:tc>
          <w:tcPr>
            <w:tcW w:type="dxa" w:w="3024"/>
          </w:tcPr>
          <w:p>
            <w:pPr>
              <w:jc w:val="left"/>
            </w:pPr>
            <w:r/>
            <w:r>
              <w:rPr>
                <w:rFonts w:ascii="Times New Roman" w:hAnsi="Times New Roman"/>
                <w:b w:val="0"/>
                <w:sz w:val="20"/>
              </w:rPr>
              <w:t>Supply-demand gap assertion (e.g., "Last year you requested 95,000 AF but received 80,000 AF — a shortfall of 15,000 AF")</w:t>
            </w:r>
          </w:p>
        </w:tc>
      </w:tr>
      <w:tr>
        <w:tc>
          <w:tcPr>
            <w:tcW w:type="dxa" w:w="3024"/>
          </w:tcPr>
          <w:p>
            <w:pPr>
              <w:jc w:val="left"/>
            </w:pPr>
            <w:r/>
            <w:r>
              <w:rPr>
                <w:rFonts w:ascii="Times New Roman" w:hAnsi="Times New Roman"/>
                <w:b w:val="0"/>
                <w:sz w:val="20"/>
              </w:rPr>
              <w:t>{memory}</w:t>
            </w:r>
          </w:p>
        </w:tc>
        <w:tc>
          <w:tcPr>
            <w:tcW w:type="dxa" w:w="3024"/>
          </w:tcPr>
          <w:p>
            <w:pPr>
              <w:jc w:val="left"/>
            </w:pPr>
            <w:r/>
            <w:r>
              <w:rPr>
                <w:rFonts w:ascii="Times New Roman" w:hAnsi="Times New Roman"/>
                <w:b w:val="0"/>
                <w:sz w:val="20"/>
              </w:rPr>
              <w:t>HumanCentricMemoryEngine</w:t>
            </w:r>
          </w:p>
        </w:tc>
        <w:tc>
          <w:tcPr>
            <w:tcW w:type="dxa" w:w="3024"/>
          </w:tcPr>
          <w:p>
            <w:pPr>
              <w:jc w:val="left"/>
            </w:pPr>
            <w:r/>
            <w:r>
              <w:rPr>
                <w:rFonts w:ascii="Times New Roman" w:hAnsi="Times New Roman"/>
                <w:b w:val="0"/>
                <w:sz w:val="20"/>
              </w:rPr>
              <w:t>Top-k retrieved memories from past water years</w:t>
            </w:r>
          </w:p>
        </w:tc>
      </w:tr>
      <w:tr>
        <w:tc>
          <w:tcPr>
            <w:tcW w:type="dxa" w:w="3024"/>
          </w:tcPr>
          <w:p>
            <w:pPr>
              <w:jc w:val="left"/>
            </w:pPr>
            <w:r/>
            <w:r>
              <w:rPr>
                <w:rFonts w:ascii="Times New Roman" w:hAnsi="Times New Roman"/>
                <w:b w:val="0"/>
                <w:sz w:val="20"/>
              </w:rPr>
              <w:t>{conservation_status}</w:t>
            </w:r>
          </w:p>
        </w:tc>
        <w:tc>
          <w:tcPr>
            <w:tcW w:type="dxa" w:w="3024"/>
          </w:tcPr>
          <w:p>
            <w:pPr>
              <w:jc w:val="left"/>
            </w:pPr>
            <w:r/>
            <w:r>
              <w:rPr>
                <w:rFonts w:ascii="Times New Roman" w:hAnsi="Times New Roman"/>
                <w:b w:val="0"/>
                <w:sz w:val="20"/>
              </w:rPr>
              <w:t>Agent state</w:t>
            </w:r>
          </w:p>
        </w:tc>
        <w:tc>
          <w:tcPr>
            <w:tcW w:type="dxa" w:w="3024"/>
          </w:tcPr>
          <w:p>
            <w:pPr>
              <w:jc w:val="left"/>
            </w:pPr>
            <w:r/>
            <w:r>
              <w:rPr>
                <w:rFonts w:ascii="Times New Roman" w:hAnsi="Times New Roman"/>
                <w:b w:val="0"/>
                <w:sz w:val="20"/>
              </w:rPr>
              <w:t>Current conservation practice status ("use" or "do not use")</w:t>
            </w:r>
          </w:p>
        </w:tc>
      </w:tr>
      <w:tr>
        <w:tc>
          <w:tcPr>
            <w:tcW w:type="dxa" w:w="3024"/>
          </w:tcPr>
          <w:p>
            <w:pPr>
              <w:jc w:val="left"/>
            </w:pPr>
            <w:r/>
            <w:r>
              <w:rPr>
                <w:rFonts w:ascii="Times New Roman" w:hAnsi="Times New Roman"/>
                <w:b w:val="0"/>
                <w:sz w:val="20"/>
              </w:rPr>
              <w:t>{aca_hint}</w:t>
            </w:r>
          </w:p>
        </w:tc>
        <w:tc>
          <w:tcPr>
            <w:tcW w:type="dxa" w:w="3024"/>
          </w:tcPr>
          <w:p>
            <w:pPr>
              <w:jc w:val="left"/>
            </w:pPr>
            <w:r/>
            <w:r>
              <w:rPr>
                <w:rFonts w:ascii="Times New Roman" w:hAnsi="Times New Roman"/>
                <w:b w:val="0"/>
                <w:sz w:val="20"/>
              </w:rPr>
              <w:t>Persona configuration</w:t>
            </w:r>
          </w:p>
        </w:tc>
        <w:tc>
          <w:tcPr>
            <w:tcW w:type="dxa" w:w="3024"/>
          </w:tcPr>
          <w:p>
            <w:pPr>
              <w:jc w:val="left"/>
            </w:pPr>
            <w:r/>
            <w:r>
              <w:rPr>
                <w:rFonts w:ascii="Times New Roman" w:hAnsi="Times New Roman"/>
                <w:b w:val="0"/>
                <w:sz w:val="20"/>
              </w:rPr>
              <w:t>Cluster-anchored capacity text ("limited", "moderate", or "strong") based on FQL-derived persona parameters</w:t>
            </w:r>
          </w:p>
        </w:tc>
      </w:tr>
      <w:tr>
        <w:tc>
          <w:tcPr>
            <w:tcW w:type="dxa" w:w="3024"/>
          </w:tcPr>
          <w:p>
            <w:pPr>
              <w:jc w:val="left"/>
            </w:pPr>
            <w:r/>
            <w:r>
              <w:rPr>
                <w:rFonts w:ascii="Times New Roman" w:hAnsi="Times New Roman"/>
                <w:b w:val="0"/>
                <w:sz w:val="20"/>
              </w:rPr>
              <w:t>{trust_forecasts_text}</w:t>
            </w:r>
          </w:p>
        </w:tc>
        <w:tc>
          <w:tcPr>
            <w:tcW w:type="dxa" w:w="3024"/>
          </w:tcPr>
          <w:p>
            <w:pPr>
              <w:jc w:val="left"/>
            </w:pPr>
            <w:r/>
            <w:r>
              <w:rPr>
                <w:rFonts w:ascii="Times New Roman" w:hAnsi="Times New Roman"/>
                <w:b w:val="0"/>
                <w:sz w:val="20"/>
              </w:rPr>
              <w:t>Agent profile</w:t>
            </w:r>
          </w:p>
        </w:tc>
        <w:tc>
          <w:tcPr>
            <w:tcW w:type="dxa" w:w="3024"/>
          </w:tcPr>
          <w:p>
            <w:pPr>
              <w:jc w:val="left"/>
            </w:pPr>
            <w:r/>
            <w:r>
              <w:rPr>
                <w:rFonts w:ascii="Times New Roman" w:hAnsi="Times New Roman"/>
                <w:b w:val="0"/>
                <w:sz w:val="20"/>
              </w:rPr>
              <w:t>Trust level text for institutional forecasts ("trust" or "do not fully trust")</w:t>
            </w:r>
          </w:p>
        </w:tc>
      </w:tr>
      <w:tr>
        <w:tc>
          <w:tcPr>
            <w:tcW w:type="dxa" w:w="3024"/>
          </w:tcPr>
          <w:p>
            <w:pPr>
              <w:jc w:val="left"/>
            </w:pPr>
            <w:r/>
            <w:r>
              <w:rPr>
                <w:rFonts w:ascii="Times New Roman" w:hAnsi="Times New Roman"/>
                <w:b w:val="0"/>
                <w:sz w:val="20"/>
              </w:rPr>
              <w:t>{trust_neighbors_text}</w:t>
            </w:r>
          </w:p>
        </w:tc>
        <w:tc>
          <w:tcPr>
            <w:tcW w:type="dxa" w:w="3024"/>
          </w:tcPr>
          <w:p>
            <w:pPr>
              <w:jc w:val="left"/>
            </w:pPr>
            <w:r/>
            <w:r>
              <w:rPr>
                <w:rFonts w:ascii="Times New Roman" w:hAnsi="Times New Roman"/>
                <w:b w:val="0"/>
                <w:sz w:val="20"/>
              </w:rPr>
              <w:t>Social network</w:t>
            </w:r>
          </w:p>
        </w:tc>
        <w:tc>
          <w:tcPr>
            <w:tcW w:type="dxa" w:w="3024"/>
          </w:tcPr>
          <w:p>
            <w:pPr>
              <w:jc w:val="left"/>
            </w:pPr>
            <w:r/>
            <w:r>
              <w:rPr>
                <w:rFonts w:ascii="Times New Roman" w:hAnsi="Times New Roman"/>
                <w:b w:val="0"/>
                <w:sz w:val="20"/>
              </w:rPr>
              <w:t>Trust level for peer advice</w:t>
            </w:r>
          </w:p>
        </w:tc>
      </w:tr>
      <w:tr>
        <w:tc>
          <w:tcPr>
            <w:tcW w:type="dxa" w:w="3024"/>
          </w:tcPr>
          <w:p>
            <w:pPr>
              <w:jc w:val="left"/>
            </w:pPr>
            <w:r/>
            <w:r>
              <w:rPr>
                <w:rFonts w:ascii="Times New Roman" w:hAnsi="Times New Roman"/>
                <w:b w:val="0"/>
                <w:sz w:val="20"/>
              </w:rPr>
              <w:t>{options_text}</w:t>
            </w:r>
          </w:p>
        </w:tc>
        <w:tc>
          <w:tcPr>
            <w:tcW w:type="dxa" w:w="3024"/>
          </w:tcPr>
          <w:p>
            <w:pPr>
              <w:jc w:val="left"/>
            </w:pPr>
            <w:r/>
            <w:r>
              <w:rPr>
                <w:rFonts w:ascii="Times New Roman" w:hAnsi="Times New Roman"/>
                <w:b w:val="0"/>
                <w:sz w:val="20"/>
              </w:rPr>
              <w:t>Skill registry</w:t>
            </w:r>
          </w:p>
        </w:tc>
        <w:tc>
          <w:tcPr>
            <w:tcW w:type="dxa" w:w="3024"/>
          </w:tcPr>
          <w:p>
            <w:pPr>
              <w:jc w:val="left"/>
            </w:pPr>
            <w:r/>
            <w:r>
              <w:rPr>
                <w:rFonts w:ascii="Times New Roman" w:hAnsi="Times New Roman"/>
                <w:b w:val="0"/>
                <w:sz w:val="20"/>
              </w:rPr>
              <w:t>Five-skill menu: (1) increase_large, (2) increase_small, (3) maintain_demand, (4) decrease_small, (5) decrease_large</w:t>
            </w:r>
          </w:p>
        </w:tc>
      </w:tr>
      <w:tr>
        <w:tc>
          <w:tcPr>
            <w:tcW w:type="dxa" w:w="3024"/>
          </w:tcPr>
          <w:p>
            <w:pPr>
              <w:jc w:val="left"/>
            </w:pPr>
            <w:r/>
            <w:r>
              <w:rPr>
                <w:rFonts w:ascii="Times New Roman" w:hAnsi="Times New Roman"/>
                <w:b w:val="0"/>
                <w:sz w:val="20"/>
              </w:rPr>
              <w:t>{rating_scale}</w:t>
            </w:r>
          </w:p>
        </w:tc>
        <w:tc>
          <w:tcPr>
            <w:tcW w:type="dxa" w:w="3024"/>
          </w:tcPr>
          <w:p>
            <w:pPr>
              <w:jc w:val="left"/>
            </w:pPr>
            <w:r/>
            <w:r>
              <w:rPr>
                <w:rFonts w:ascii="Times New Roman" w:hAnsi="Times New Roman"/>
                <w:b w:val="0"/>
                <w:sz w:val="20"/>
              </w:rPr>
              <w:t>Configuration</w:t>
            </w:r>
          </w:p>
        </w:tc>
        <w:tc>
          <w:tcPr>
            <w:tcW w:type="dxa" w:w="3024"/>
          </w:tcPr>
          <w:p>
            <w:pPr>
              <w:jc w:val="left"/>
            </w:pPr>
            <w:r/>
            <w:r>
              <w:rPr>
                <w:rFonts w:ascii="Times New Roman" w:hAnsi="Times New Roman"/>
                <w:b w:val="0"/>
                <w:sz w:val="20"/>
              </w:rPr>
              <w:t>Five-point scale definition (VL=Very Low, L=Low, M=Medium, H=High, VH=Very High)</w:t>
            </w:r>
          </w:p>
        </w:tc>
      </w:tr>
      <w:tr>
        <w:tc>
          <w:tcPr>
            <w:tcW w:type="dxa" w:w="3024"/>
          </w:tcPr>
          <w:p>
            <w:pPr>
              <w:jc w:val="left"/>
            </w:pPr>
            <w:r/>
            <w:r>
              <w:rPr>
                <w:rFonts w:ascii="Times New Roman" w:hAnsi="Times New Roman"/>
                <w:b w:val="0"/>
                <w:sz w:val="20"/>
              </w:rPr>
              <w:t>{response_format}</w:t>
            </w:r>
          </w:p>
        </w:tc>
        <w:tc>
          <w:tcPr>
            <w:tcW w:type="dxa" w:w="3024"/>
          </w:tcPr>
          <w:p>
            <w:pPr>
              <w:jc w:val="left"/>
            </w:pPr>
            <w:r/>
            <w:r>
              <w:rPr>
                <w:rFonts w:ascii="Times New Roman" w:hAnsi="Times New Roman"/>
                <w:b w:val="0"/>
                <w:sz w:val="20"/>
              </w:rPr>
              <w:t>agent_types.yaml</w:t>
            </w:r>
          </w:p>
        </w:tc>
        <w:tc>
          <w:tcPr>
            <w:tcW w:type="dxa" w:w="3024"/>
          </w:tcPr>
          <w:p>
            <w:pPr>
              <w:jc w:val="left"/>
            </w:pPr>
            <w:r/>
            <w:r>
              <w:rPr>
                <w:rFonts w:ascii="Times New Roman" w:hAnsi="Times New Roman"/>
                <w:b w:val="0"/>
                <w:sz w:val="20"/>
              </w:rPr>
              <w:t>JSON schema with four fields: reasoning, water_scarcity_assessment, adaptive_capacity_assessment, decision</w:t>
            </w:r>
          </w:p>
        </w:tc>
      </w:tr>
    </w:tbl>
    <w:p/>
    <w:p>
      <w:pPr>
        <w:pStyle w:val="Heading3"/>
      </w:pPr>
      <w:r>
        <w:rPr>
          <w:rFonts w:ascii="Times New Roman" w:hAnsi="Times New Roman"/>
          <w:color w:val="000000"/>
        </w:rPr>
        <w:t>Design Rationale</w:t>
      </w:r>
    </w:p>
    <w:p>
      <w:pPr>
        <w:spacing w:after="120" w:line="480" w:lineRule="auto"/>
      </w:pPr>
      <w:r>
        <w:rPr>
          <w:rFonts w:ascii="Times New Roman" w:hAnsi="Times New Roman"/>
          <w:sz w:val="24"/>
        </w:rPr>
        <w:t>Chain-of-Thought Structure (lines 11-21). The prompt explicitly instructs agents to perform appraisals before choosing actions, using sequential framing: "First assess... Then rate... Next assess... Now choose." This structure reduces impulsive action selection by forcing intermediate reasoning steps. The approach is theoretically grounded in dual-process theories of decision-making, where System 2 (deliberative) processing is activated through explicit prompting.</w:t>
      </w:r>
    </w:p>
    <w:p>
      <w:pPr>
        <w:spacing w:after="120" w:line="480" w:lineRule="auto"/>
      </w:pPr>
      <w:r>
        <w:rPr>
          <w:rFonts w:ascii="Times New Roman" w:hAnsi="Times New Roman"/>
          <w:sz w:val="24"/>
        </w:rPr>
        <w:t>Persona-Based Anchoring. The {narrative_persona} text is cluster-specific and derived from k-means clustering of Fuzzy Q-Learning (FQL) parameters from Hung &amp; Yang (2021). Three clusters emerge: (1) Aggressive (high exploration, low regret), (2) Forward-Looking Conservative (high discount factor, high regret), and (3) Myopic Conservative (low discount factor, low exploration). Each persona receives tailored framing that primes the LLM toward cluster-appropriate decision patterns.</w:t>
      </w:r>
    </w:p>
    <w:p>
      <w:pPr>
        <w:spacing w:after="120" w:line="480" w:lineRule="auto"/>
      </w:pPr>
      <w:r>
        <w:rPr>
          <w:rFonts w:ascii="Times New Roman" w:hAnsi="Times New Roman"/>
          <w:sz w:val="24"/>
        </w:rPr>
        <w:t>Adaptive Capacity Hint. The {aca_hint} field provides a soft anchor for capacity assessment that correlates with persona risk tolerance. Aggressive agents receive "strong" capacity hints, enabling more volatile demand adjustments. Myopic agents receive "limited" hints, promoting status quo bias. This mechanism translates FQL parameter heterogeneity into LLM-compatible contextual cues.</w:t>
      </w:r>
    </w:p>
    <w:p>
      <w:pPr>
        <w:spacing w:after="120" w:line="480" w:lineRule="auto"/>
      </w:pPr>
      <w:r>
        <w:rPr>
          <w:rFonts w:ascii="Times New Roman" w:hAnsi="Times New Roman"/>
          <w:sz w:val="24"/>
        </w:rPr>
        <w:t>Field Count Constraint. The irrigation response format is deliberately limited to four fields (reasoning, WSA, ACA, decision). Empirical testing with gemma3:4b revealed that response formats exceeding four fields frequently produce unparseable output due to model capacity constraints. The flood format includes more fields (9 total with PMT constructs and sub-options) because larger models (12B, 27B parameters) can handle the complexity without degradation.</w:t>
      </w:r>
    </w:p>
    <w:p>
      <w:pPr>
        <w:pStyle w:val="Heading2"/>
      </w:pPr>
      <w:r>
        <w:rPr>
          <w:rFonts w:ascii="Times New Roman" w:hAnsi="Times New Roman"/>
          <w:color w:val="000000"/>
        </w:rPr>
        <w:t>S1.3 Response Format Specification</w:t>
      </w:r>
    </w:p>
    <w:p>
      <w:pPr>
        <w:spacing w:after="120" w:line="480" w:lineRule="auto"/>
      </w:pPr>
      <w:r>
        <w:rPr>
          <w:rFonts w:ascii="Times New Roman" w:hAnsi="Times New Roman"/>
          <w:sz w:val="24"/>
        </w:rPr>
        <w:t>Both agent types use delimited JSON responses with strict schema enforcement. The governance engine validates all responses against the schema before execution, blocking malformed outputs.</w:t>
      </w:r>
    </w:p>
    <w:p>
      <w:pPr>
        <w:pStyle w:val="Heading3"/>
      </w:pPr>
      <w:r>
        <w:rPr>
          <w:rFonts w:ascii="Times New Roman" w:hAnsi="Times New Roman"/>
          <w:color w:val="000000"/>
        </w:rPr>
        <w:t>Flood Response Format</w:t>
      </w:r>
    </w:p>
    <w:p>
      <w:r>
        <w:rPr>
          <w:rFonts w:ascii="Times New Roman" w:hAnsi="Times New Roman"/>
          <w:b/>
          <w:sz w:val="24"/>
        </w:rPr>
        <w:t>Delimiter Markers:</w:t>
      </w:r>
    </w:p>
    <w:p>
      <w:pPr>
        <w:pStyle w:val="ListBullet"/>
      </w:pPr>
      <w:r>
        <w:rPr>
          <w:rFonts w:ascii="Times New Roman" w:hAnsi="Times New Roman"/>
          <w:sz w:val="24"/>
        </w:rPr>
        <w:t>Start: &lt;&lt;&lt;DECISION_START&gt;&gt;&gt;</w:t>
      </w:r>
    </w:p>
    <w:p>
      <w:pPr>
        <w:pStyle w:val="ListBullet"/>
      </w:pPr>
      <w:r>
        <w:rPr>
          <w:rFonts w:ascii="Times New Roman" w:hAnsi="Times New Roman"/>
          <w:sz w:val="24"/>
        </w:rPr>
        <w:t>End: &lt;&lt;&lt;DECISION_END&gt;&gt;&gt;</w:t>
      </w:r>
    </w:p>
    <w:p>
      <w:r>
        <w:rPr>
          <w:rFonts w:ascii="Times New Roman" w:hAnsi="Times New Roman"/>
          <w:b/>
          <w:sz w:val="24"/>
        </w:rPr>
        <w:t>Required Fields (in order):</w:t>
      </w:r>
    </w:p>
    <w:p>
      <w:pPr>
        <w:pStyle w:val="ListNumber"/>
      </w:pPr>
      <w:r>
        <w:rPr>
          <w:rFonts w:ascii="Times New Roman" w:hAnsi="Times New Roman"/>
          <w:sz w:val="24"/>
        </w:rPr>
        <w:t>1. threat_perception (appraisal, required)</w:t>
      </w:r>
    </w:p>
    <w:p>
      <w:pPr>
        <w:pStyle w:val="ListBullet"/>
      </w:pPr>
      <w:r>
        <w:rPr>
          <w:rFonts w:ascii="Times New Roman" w:hAnsi="Times New Roman"/>
          <w:sz w:val="24"/>
        </w:rPr>
        <w:t>Type: Categorical (VL, L, M, H, VH)</w:t>
      </w:r>
    </w:p>
    <w:p>
      <w:pPr>
        <w:pStyle w:val="ListBullet"/>
      </w:pPr>
      <w:r>
        <w:rPr>
          <w:rFonts w:ascii="Times New Roman" w:hAnsi="Times New Roman"/>
          <w:sz w:val="24"/>
        </w:rPr>
        <w:t>Construct: TP_LABEL</w:t>
      </w:r>
    </w:p>
    <w:p>
      <w:pPr>
        <w:pStyle w:val="ListBullet"/>
      </w:pPr>
      <w:r>
        <w:rPr>
          <w:rFonts w:ascii="Times New Roman" w:hAnsi="Times New Roman"/>
          <w:sz w:val="24"/>
        </w:rPr>
        <w:t>Definition: "How serious do you perceive the flood risk? Consider likelihood and potential severity."</w:t>
      </w:r>
    </w:p>
    <w:p>
      <w:pPr>
        <w:pStyle w:val="ListNumber"/>
      </w:pPr>
      <w:r>
        <w:rPr>
          <w:rFonts w:ascii="Times New Roman" w:hAnsi="Times New Roman"/>
          <w:sz w:val="24"/>
        </w:rPr>
        <w:t>2. coping_perception (appraisal, required)</w:t>
      </w:r>
    </w:p>
    <w:p>
      <w:pPr>
        <w:pStyle w:val="ListBullet"/>
      </w:pPr>
      <w:r>
        <w:rPr>
          <w:rFonts w:ascii="Times New Roman" w:hAnsi="Times New Roman"/>
          <w:sz w:val="24"/>
        </w:rPr>
        <w:t>Type: Categorical (VL, L, M, H, VH)</w:t>
      </w:r>
    </w:p>
    <w:p>
      <w:pPr>
        <w:pStyle w:val="ListBullet"/>
      </w:pPr>
      <w:r>
        <w:rPr>
          <w:rFonts w:ascii="Times New Roman" w:hAnsi="Times New Roman"/>
          <w:sz w:val="24"/>
        </w:rPr>
        <w:t>Construct: CP_LABEL</w:t>
      </w:r>
    </w:p>
    <w:p>
      <w:pPr>
        <w:pStyle w:val="ListBullet"/>
      </w:pPr>
      <w:r>
        <w:rPr>
          <w:rFonts w:ascii="Times New Roman" w:hAnsi="Times New Roman"/>
          <w:sz w:val="24"/>
        </w:rPr>
        <w:t>Definition: "How confident are you that mitigation options (insurance, elevation, buyout) are effective and affordable?"</w:t>
      </w:r>
    </w:p>
    <w:p>
      <w:pPr>
        <w:pStyle w:val="ListNumber"/>
      </w:pPr>
      <w:r>
        <w:rPr>
          <w:rFonts w:ascii="Times New Roman" w:hAnsi="Times New Roman"/>
          <w:sz w:val="24"/>
        </w:rPr>
        <w:t>3. stakeholder_perception (appraisal, required)</w:t>
      </w:r>
    </w:p>
    <w:p>
      <w:pPr>
        <w:pStyle w:val="ListBullet"/>
      </w:pPr>
      <w:r>
        <w:rPr>
          <w:rFonts w:ascii="Times New Roman" w:hAnsi="Times New Roman"/>
          <w:sz w:val="24"/>
        </w:rPr>
        <w:t>Type: Categorical (VL, L, M, H, VH)</w:t>
      </w:r>
    </w:p>
    <w:p>
      <w:pPr>
        <w:pStyle w:val="ListBullet"/>
      </w:pPr>
      <w:r>
        <w:rPr>
          <w:rFonts w:ascii="Times New Roman" w:hAnsi="Times New Roman"/>
          <w:sz w:val="24"/>
        </w:rPr>
        <w:t>Construct: SP_LABEL</w:t>
      </w:r>
    </w:p>
    <w:p>
      <w:pPr>
        <w:pStyle w:val="ListBullet"/>
      </w:pPr>
      <w:r>
        <w:rPr>
          <w:rFonts w:ascii="Times New Roman" w:hAnsi="Times New Roman"/>
          <w:sz w:val="24"/>
        </w:rPr>
        <w:t>Definition: "How much do you trust institutions (NJDEP, FEMA/NFIP) to provide reliable support?"</w:t>
      </w:r>
    </w:p>
    <w:p>
      <w:pPr>
        <w:pStyle w:val="ListNumber"/>
      </w:pPr>
      <w:r>
        <w:rPr>
          <w:rFonts w:ascii="Times New Roman" w:hAnsi="Times New Roman"/>
          <w:sz w:val="24"/>
        </w:rPr>
        <w:t>4. social_capital (appraisal, required)</w:t>
      </w:r>
    </w:p>
    <w:p>
      <w:pPr>
        <w:pStyle w:val="ListBullet"/>
      </w:pPr>
      <w:r>
        <w:rPr>
          <w:rFonts w:ascii="Times New Roman" w:hAnsi="Times New Roman"/>
          <w:sz w:val="24"/>
        </w:rPr>
        <w:t>Type: Categorical (VL, L, M, H, VH)</w:t>
      </w:r>
    </w:p>
    <w:p>
      <w:pPr>
        <w:pStyle w:val="ListBullet"/>
      </w:pPr>
      <w:r>
        <w:rPr>
          <w:rFonts w:ascii="Times New Roman" w:hAnsi="Times New Roman"/>
          <w:sz w:val="24"/>
        </w:rPr>
        <w:t>Construct: SC_LABEL</w:t>
      </w:r>
    </w:p>
    <w:p>
      <w:pPr>
        <w:pStyle w:val="ListBullet"/>
      </w:pPr>
      <w:r>
        <w:rPr>
          <w:rFonts w:ascii="Times New Roman" w:hAnsi="Times New Roman"/>
          <w:sz w:val="24"/>
        </w:rPr>
        <w:t>Definition: "How connected are you with neighbors? Are they taking protective actions?"</w:t>
      </w:r>
    </w:p>
    <w:p>
      <w:pPr>
        <w:pStyle w:val="ListNumber"/>
      </w:pPr>
      <w:r>
        <w:rPr>
          <w:rFonts w:ascii="Times New Roman" w:hAnsi="Times New Roman"/>
          <w:sz w:val="24"/>
        </w:rPr>
        <w:t>5. place_attachment (appraisal, required)</w:t>
      </w:r>
    </w:p>
    <w:p>
      <w:pPr>
        <w:pStyle w:val="ListBullet"/>
      </w:pPr>
      <w:r>
        <w:rPr>
          <w:rFonts w:ascii="Times New Roman" w:hAnsi="Times New Roman"/>
          <w:sz w:val="24"/>
        </w:rPr>
        <w:t>Type: Categorical (VL, L, M, H, VH)</w:t>
      </w:r>
    </w:p>
    <w:p>
      <w:pPr>
        <w:pStyle w:val="ListBullet"/>
      </w:pPr>
      <w:r>
        <w:rPr>
          <w:rFonts w:ascii="Times New Roman" w:hAnsi="Times New Roman"/>
          <w:sz w:val="24"/>
        </w:rPr>
        <w:t>Construct: PA_LABEL</w:t>
      </w:r>
    </w:p>
    <w:p>
      <w:pPr>
        <w:pStyle w:val="ListBullet"/>
      </w:pPr>
      <w:r>
        <w:rPr>
          <w:rFonts w:ascii="Times New Roman" w:hAnsi="Times New Roman"/>
          <w:sz w:val="24"/>
        </w:rPr>
        <w:t>Definition: "How emotionally attached are you to your home and community?"</w:t>
      </w:r>
    </w:p>
    <w:p>
      <w:pPr>
        <w:pStyle w:val="ListNumber"/>
      </w:pPr>
      <w:r>
        <w:rPr>
          <w:rFonts w:ascii="Times New Roman" w:hAnsi="Times New Roman"/>
          <w:sz w:val="24"/>
        </w:rPr>
        <w:t>6. decision (choice, required)</w:t>
      </w:r>
    </w:p>
    <w:p>
      <w:pPr>
        <w:pStyle w:val="ListBullet"/>
      </w:pPr>
      <w:r>
        <w:rPr>
          <w:rFonts w:ascii="Times New Roman" w:hAnsi="Times New Roman"/>
          <w:sz w:val="24"/>
        </w:rPr>
        <w:t>Type: Numeric ID (1-4)</w:t>
      </w:r>
    </w:p>
    <w:p>
      <w:pPr>
        <w:pStyle w:val="ListBullet"/>
      </w:pPr>
      <w:r>
        <w:rPr>
          <w:rFonts w:ascii="Times New Roman" w:hAnsi="Times New Roman"/>
          <w:sz w:val="24"/>
        </w:rPr>
        <w:t>Options: 1=do_nothing, 2=buy_insurance, 3=elevate_house, 4=buyout_program</w:t>
      </w:r>
    </w:p>
    <w:p>
      <w:pPr>
        <w:pStyle w:val="ListNumber"/>
      </w:pPr>
      <w:r>
        <w:rPr>
          <w:rFonts w:ascii="Times New Roman" w:hAnsi="Times New Roman"/>
          <w:sz w:val="24"/>
        </w:rPr>
        <w:t>7. elevation_feet (numeric, optional)</w:t>
      </w:r>
    </w:p>
    <w:p>
      <w:pPr>
        <w:pStyle w:val="ListBullet"/>
      </w:pPr>
      <w:r>
        <w:rPr>
          <w:rFonts w:ascii="Times New Roman" w:hAnsi="Times New Roman"/>
          <w:sz w:val="24"/>
        </w:rPr>
        <w:t>Type: Integer {3, 5, 8}</w:t>
      </w:r>
    </w:p>
    <w:p>
      <w:pPr>
        <w:pStyle w:val="ListBullet"/>
      </w:pPr>
      <w:r>
        <w:rPr>
          <w:rFonts w:ascii="Times New Roman" w:hAnsi="Times New Roman"/>
          <w:sz w:val="24"/>
        </w:rPr>
        <w:t>Required if: decision=3 (elevate_house)</w:t>
      </w:r>
    </w:p>
    <w:p>
      <w:pPr>
        <w:pStyle w:val="ListBullet"/>
      </w:pPr>
      <w:r>
        <w:rPr>
          <w:rFonts w:ascii="Times New Roman" w:hAnsi="Times New Roman"/>
          <w:sz w:val="24"/>
        </w:rPr>
        <w:t>Description: Height above Base Flood Elevation</w:t>
      </w:r>
    </w:p>
    <w:p>
      <w:pPr>
        <w:pStyle w:val="ListNumber"/>
      </w:pPr>
      <w:r>
        <w:rPr>
          <w:rFonts w:ascii="Times New Roman" w:hAnsi="Times New Roman"/>
          <w:sz w:val="24"/>
        </w:rPr>
        <w:t>8. insurance_coverage (choice, optional)</w:t>
      </w:r>
    </w:p>
    <w:p>
      <w:pPr>
        <w:pStyle w:val="ListBullet"/>
      </w:pPr>
      <w:r>
        <w:rPr>
          <w:rFonts w:ascii="Times New Roman" w:hAnsi="Times New Roman"/>
          <w:sz w:val="24"/>
        </w:rPr>
        <w:t>Type: Integer {1, 2}</w:t>
      </w:r>
    </w:p>
    <w:p>
      <w:pPr>
        <w:pStyle w:val="ListBullet"/>
      </w:pPr>
      <w:r>
        <w:rPr>
          <w:rFonts w:ascii="Times New Roman" w:hAnsi="Times New Roman"/>
          <w:sz w:val="24"/>
        </w:rPr>
        <w:t>Required if: decision=2 (buy_insurance)</w:t>
      </w:r>
    </w:p>
    <w:p>
      <w:pPr>
        <w:pStyle w:val="ListBullet"/>
      </w:pPr>
      <w:r>
        <w:rPr>
          <w:rFonts w:ascii="Times New Roman" w:hAnsi="Times New Roman"/>
          <w:sz w:val="24"/>
        </w:rPr>
        <w:t>Options: 1=Structure+Contents, 2=Contents-only</w:t>
      </w:r>
    </w:p>
    <w:p>
      <w:pPr>
        <w:pStyle w:val="ListNumber"/>
      </w:pPr>
      <w:r>
        <w:rPr>
          <w:rFonts w:ascii="Times New Roman" w:hAnsi="Times New Roman"/>
          <w:sz w:val="24"/>
        </w:rPr>
        <w:t>9. secondary_decision (secondary_choice, optional)</w:t>
      </w:r>
    </w:p>
    <w:p>
      <w:pPr>
        <w:pStyle w:val="ListBullet"/>
      </w:pPr>
      <w:r>
        <w:rPr>
          <w:rFonts w:ascii="Times New Roman" w:hAnsi="Times New Roman"/>
          <w:sz w:val="24"/>
        </w:rPr>
        <w:t>Type: Numeric ID (0-4)</w:t>
      </w:r>
    </w:p>
    <w:p>
      <w:pPr>
        <w:pStyle w:val="ListBullet"/>
      </w:pPr>
      <w:r>
        <w:rPr>
          <w:rFonts w:ascii="Times New Roman" w:hAnsi="Times New Roman"/>
          <w:sz w:val="24"/>
        </w:rPr>
        <w:t>Default: 0 (no secondary action)</w:t>
      </w:r>
    </w:p>
    <w:p>
      <w:pPr>
        <w:pStyle w:val="ListBullet"/>
      </w:pPr>
      <w:r>
        <w:rPr>
          <w:rFonts w:ascii="Times New Roman" w:hAnsi="Times New Roman"/>
          <w:sz w:val="24"/>
        </w:rPr>
        <w:t>Constraints: Cannot combine elevation with buyout</w:t>
      </w:r>
    </w:p>
    <w:p>
      <w:pPr>
        <w:pStyle w:val="ListNumber"/>
      </w:pPr>
      <w:r>
        <w:rPr>
          <w:rFonts w:ascii="Times New Roman" w:hAnsi="Times New Roman"/>
          <w:sz w:val="24"/>
        </w:rPr>
        <w:t>10. reasoning (text, optional)</w:t>
      </w:r>
    </w:p>
    <w:p>
      <w:pPr>
        <w:pStyle w:val="ListBullet"/>
      </w:pPr>
      <w:r>
        <w:rPr>
          <w:rFonts w:ascii="Times New Roman" w:hAnsi="Times New Roman"/>
          <w:sz w:val="24"/>
        </w:rPr>
        <w:t>Type: Free text</w:t>
      </w:r>
    </w:p>
    <w:p>
      <w:pPr>
        <w:pStyle w:val="ListBullet"/>
      </w:pPr>
      <w:r>
        <w:rPr>
          <w:rFonts w:ascii="Times New Roman" w:hAnsi="Times New Roman"/>
          <w:sz w:val="24"/>
        </w:rPr>
        <w:t>Description: Explanation of decision rationale (2-3 sentences)</w:t>
      </w:r>
    </w:p>
    <w:p>
      <w:r>
        <w:rPr>
          <w:rFonts w:ascii="Times New Roman" w:hAnsi="Times New Roman"/>
          <w:b/>
          <w:sz w:val="24"/>
        </w:rPr>
        <w:t>Example Valid Response:</w:t>
      </w:r>
    </w:p>
    <w:p>
      <w:pPr>
        <w:spacing w:before="120" w:after="120"/>
        <w:ind w:left="567"/>
      </w:pPr>
      <w:r>
        <w:rPr>
          <w:rFonts w:ascii="Consolas" w:hAnsi="Consolas"/>
          <w:sz w:val="18"/>
        </w:rPr>
        <w:t>&lt;&lt;&lt;DECISION_START&gt;&gt;&gt;</w:t>
        <w:br/>
        <w:t>{</w:t>
        <w:br/>
        <w:t xml:space="preserve">  "threat_perception": "H",</w:t>
        <w:br/>
        <w:t xml:space="preserve">  "coping_perception": "M",</w:t>
        <w:br/>
        <w:t xml:space="preserve">  "stakeholder_perception": "L",</w:t>
        <w:br/>
        <w:t xml:space="preserve">  "social_capital": "M",</w:t>
        <w:br/>
        <w:t xml:space="preserve">  "place_attachment": "VH",</w:t>
        <w:br/>
        <w:t xml:space="preserve">  "decision": 2,</w:t>
        <w:br/>
        <w:t xml:space="preserve">  "insurance_coverage": 1,</w:t>
        <w:br/>
        <w:t xml:space="preserve">  "secondary_decision": 0,</w:t>
        <w:br/>
        <w:t xml:space="preserve">  "reasoning": "My flood zone is HIGH and I've been flooded twice in the past five years. Insurance provides financial protection without requiring me to leave my community. I can afford the premium given my income bracket."</w:t>
        <w:br/>
        <w:t>}</w:t>
        <w:br/>
        <w:t>&lt;&lt;&lt;DECISION_END&gt;&gt;&gt;</w:t>
      </w:r>
    </w:p>
    <w:p>
      <w:pPr>
        <w:pStyle w:val="Heading3"/>
      </w:pPr>
      <w:r>
        <w:rPr>
          <w:rFonts w:ascii="Times New Roman" w:hAnsi="Times New Roman"/>
          <w:color w:val="000000"/>
        </w:rPr>
        <w:t>Irrigation Response Format</w:t>
      </w:r>
    </w:p>
    <w:p>
      <w:r>
        <w:rPr>
          <w:rFonts w:ascii="Times New Roman" w:hAnsi="Times New Roman"/>
          <w:b/>
          <w:sz w:val="24"/>
        </w:rPr>
        <w:t>Delimiter Markers:</w:t>
      </w:r>
    </w:p>
    <w:p>
      <w:pPr>
        <w:pStyle w:val="ListBullet"/>
      </w:pPr>
      <w:r>
        <w:rPr>
          <w:rFonts w:ascii="Times New Roman" w:hAnsi="Times New Roman"/>
          <w:sz w:val="24"/>
        </w:rPr>
        <w:t>Start: &lt;&lt;&lt;DECISION_START&gt;&gt;&gt;</w:t>
      </w:r>
    </w:p>
    <w:p>
      <w:pPr>
        <w:pStyle w:val="ListBullet"/>
      </w:pPr>
      <w:r>
        <w:rPr>
          <w:rFonts w:ascii="Times New Roman" w:hAnsi="Times New Roman"/>
          <w:sz w:val="24"/>
        </w:rPr>
        <w:t>End: &lt;&lt;&lt;DECISION_END&gt;&gt;&gt;</w:t>
      </w:r>
    </w:p>
    <w:p>
      <w:r>
        <w:rPr>
          <w:rFonts w:ascii="Times New Roman" w:hAnsi="Times New Roman"/>
          <w:b/>
          <w:sz w:val="24"/>
        </w:rPr>
        <w:t>Required Fields (in order - "Reasoning Before Rating"):</w:t>
      </w:r>
    </w:p>
    <w:p>
      <w:pPr>
        <w:pStyle w:val="ListNumber"/>
      </w:pPr>
      <w:r>
        <w:rPr>
          <w:rFonts w:ascii="Times New Roman" w:hAnsi="Times New Roman"/>
          <w:sz w:val="24"/>
        </w:rPr>
        <w:t>1. reasoning (text, required)</w:t>
      </w:r>
    </w:p>
    <w:p>
      <w:pPr>
        <w:pStyle w:val="ListBullet"/>
      </w:pPr>
      <w:r>
        <w:rPr>
          <w:rFonts w:ascii="Times New Roman" w:hAnsi="Times New Roman"/>
          <w:sz w:val="24"/>
        </w:rPr>
        <w:t>Type: Free text</w:t>
      </w:r>
    </w:p>
    <w:p>
      <w:pPr>
        <w:pStyle w:val="ListBullet"/>
      </w:pPr>
      <w:r>
        <w:rPr>
          <w:rFonts w:ascii="Times New Roman" w:hAnsi="Times New Roman"/>
          <w:sz w:val="24"/>
        </w:rPr>
        <w:t>Description: Thought process explaining appraisals and decision (2-3 sentences)</w:t>
      </w:r>
    </w:p>
    <w:p>
      <w:pPr>
        <w:pStyle w:val="ListBullet"/>
      </w:pPr>
      <w:r>
        <w:rPr>
          <w:rFonts w:ascii="Times New Roman" w:hAnsi="Times New Roman"/>
          <w:sz w:val="24"/>
        </w:rPr>
        <w:t>Rationale: Forces deliberative processing before action selection</w:t>
      </w:r>
    </w:p>
    <w:p>
      <w:pPr>
        <w:pStyle w:val="ListNumber"/>
      </w:pPr>
      <w:r>
        <w:rPr>
          <w:rFonts w:ascii="Times New Roman" w:hAnsi="Times New Roman"/>
          <w:sz w:val="24"/>
        </w:rPr>
        <w:t>2. water_scarcity_assessment (appraisal, required)</w:t>
      </w:r>
    </w:p>
    <w:p>
      <w:pPr>
        <w:pStyle w:val="ListBullet"/>
      </w:pPr>
      <w:r>
        <w:rPr>
          <w:rFonts w:ascii="Times New Roman" w:hAnsi="Times New Roman"/>
          <w:sz w:val="24"/>
        </w:rPr>
        <w:t>Type: Categorical (VL, L, M, H, VH)</w:t>
      </w:r>
    </w:p>
    <w:p>
      <w:pPr>
        <w:pStyle w:val="ListBullet"/>
      </w:pPr>
      <w:r>
        <w:rPr>
          <w:rFonts w:ascii="Times New Roman" w:hAnsi="Times New Roman"/>
          <w:sz w:val="24"/>
        </w:rPr>
        <w:t>Construct: WSA_LABEL</w:t>
      </w:r>
    </w:p>
    <w:p>
      <w:pPr>
        <w:pStyle w:val="ListBullet"/>
      </w:pPr>
      <w:r>
        <w:rPr>
          <w:rFonts w:ascii="Times New Roman" w:hAnsi="Times New Roman"/>
          <w:sz w:val="24"/>
        </w:rPr>
        <w:t>Description: Assessment of water supply situation relative to demand</w:t>
      </w:r>
    </w:p>
    <w:p>
      <w:pPr>
        <w:pStyle w:val="ListBullet"/>
      </w:pPr>
      <w:r>
        <w:rPr>
          <w:rFonts w:ascii="Times New Roman" w:hAnsi="Times New Roman"/>
          <w:sz w:val="24"/>
        </w:rPr>
        <w:t>Hint: "One sentence on whether your water supply feels abundant, adequate, or tight."</w:t>
      </w:r>
    </w:p>
    <w:p>
      <w:pPr>
        <w:pStyle w:val="ListNumber"/>
      </w:pPr>
      <w:r>
        <w:rPr>
          <w:rFonts w:ascii="Times New Roman" w:hAnsi="Times New Roman"/>
          <w:sz w:val="24"/>
        </w:rPr>
        <w:t>3. adaptive_capacity_assessment (appraisal, required)</w:t>
      </w:r>
    </w:p>
    <w:p>
      <w:pPr>
        <w:pStyle w:val="ListBullet"/>
      </w:pPr>
      <w:r>
        <w:rPr>
          <w:rFonts w:ascii="Times New Roman" w:hAnsi="Times New Roman"/>
          <w:sz w:val="24"/>
        </w:rPr>
        <w:t>Type: Categorical (VL, L, M, H, VH)</w:t>
      </w:r>
    </w:p>
    <w:p>
      <w:pPr>
        <w:pStyle w:val="ListBullet"/>
      </w:pPr>
      <w:r>
        <w:rPr>
          <w:rFonts w:ascii="Times New Roman" w:hAnsi="Times New Roman"/>
          <w:sz w:val="24"/>
        </w:rPr>
        <w:t>Construct: ACA_LABEL</w:t>
      </w:r>
    </w:p>
    <w:p>
      <w:pPr>
        <w:pStyle w:val="ListBullet"/>
      </w:pPr>
      <w:r>
        <w:rPr>
          <w:rFonts w:ascii="Times New Roman" w:hAnsi="Times New Roman"/>
          <w:sz w:val="24"/>
        </w:rPr>
        <w:t>Description: Assessment of ability to adjust water use</w:t>
      </w:r>
    </w:p>
    <w:p>
      <w:pPr>
        <w:pStyle w:val="ListBullet"/>
      </w:pPr>
      <w:r>
        <w:rPr>
          <w:rFonts w:ascii="Times New Roman" w:hAnsi="Times New Roman"/>
          <w:sz w:val="24"/>
        </w:rPr>
        <w:t>Hint: "One sentence on how well you can adapt your water use."</w:t>
      </w:r>
    </w:p>
    <w:p>
      <w:pPr>
        <w:pStyle w:val="ListNumber"/>
      </w:pPr>
      <w:r>
        <w:rPr>
          <w:rFonts w:ascii="Times New Roman" w:hAnsi="Times New Roman"/>
          <w:sz w:val="24"/>
        </w:rPr>
        <w:t>4. decision (choice, required)</w:t>
      </w:r>
    </w:p>
    <w:p>
      <w:pPr>
        <w:pStyle w:val="ListBullet"/>
      </w:pPr>
      <w:r>
        <w:rPr>
          <w:rFonts w:ascii="Times New Roman" w:hAnsi="Times New Roman"/>
          <w:sz w:val="24"/>
        </w:rPr>
        <w:t>Type: Numeric ID (1-5)</w:t>
      </w:r>
    </w:p>
    <w:p>
      <w:pPr>
        <w:pStyle w:val="ListBullet"/>
      </w:pPr>
      <w:r>
        <w:rPr>
          <w:rFonts w:ascii="Times New Roman" w:hAnsi="Times New Roman"/>
          <w:sz w:val="24"/>
        </w:rPr>
        <w:t>Options: 1=increase_large, 2=increase_small, 3=maintain_demand, 4=decrease_small, 5=decrease_large</w:t>
      </w:r>
    </w:p>
    <w:p>
      <w:r>
        <w:rPr>
          <w:rFonts w:ascii="Times New Roman" w:hAnsi="Times New Roman"/>
          <w:b/>
          <w:sz w:val="24"/>
        </w:rPr>
        <w:t>Example Valid Response:</w:t>
      </w:r>
    </w:p>
    <w:p>
      <w:pPr>
        <w:spacing w:before="120" w:after="120"/>
        <w:ind w:left="567"/>
      </w:pPr>
      <w:r>
        <w:rPr>
          <w:rFonts w:ascii="Consolas" w:hAnsi="Consolas"/>
          <w:sz w:val="18"/>
        </w:rPr>
        <w:t>&lt;&lt;&lt;DECISION_START&gt;&gt;&gt;</w:t>
        <w:br/>
        <w:t>{</w:t>
        <w:br/>
        <w:t xml:space="preserve">  "reasoning": "Lake Mead is at 1045 feet, which is in Tier 2 shortage. My water allocation was cut by 15% last year. I need to be cautious about increasing demand given the persistent drought conditions.",</w:t>
        <w:br/>
        <w:t xml:space="preserve">  "water_scarcity_assessment": "H",</w:t>
        <w:br/>
        <w:t xml:space="preserve">  "adaptive_capacity_assessment": "M",</w:t>
        <w:br/>
        <w:t xml:space="preserve">  "decision": 3</w:t>
        <w:br/>
        <w:t>}</w:t>
        <w:br/>
        <w:t>&lt;&lt;&lt;DECISION_END&gt;&gt;&gt;</w:t>
      </w:r>
    </w:p>
    <w:p>
      <w:pPr>
        <w:pStyle w:val="Heading3"/>
      </w:pPr>
      <w:r>
        <w:rPr>
          <w:rFonts w:ascii="Times New Roman" w:hAnsi="Times New Roman"/>
          <w:color w:val="000000"/>
        </w:rPr>
        <w:t>Key Design Differences</w:t>
      </w:r>
    </w:p>
    <w:p>
      <w:pPr>
        <w:spacing w:after="120" w:line="480" w:lineRule="auto"/>
      </w:pPr>
      <w:r>
        <w:rPr>
          <w:rFonts w:ascii="Times New Roman" w:hAnsi="Times New Roman"/>
          <w:sz w:val="24"/>
        </w:rPr>
        <w:t>Field Ordering. The flood format follows a "Appraisal-Then-Reasoning" pattern (PMT constructs first, reasoning last), allowing agents to skip reasoning if desired. The irrigation format enforces "Reasoning-Before-Rating" (reasoning first, appraisals and decision after), which improves deliberation quality for small LLMs but requires all four fields.</w:t>
      </w:r>
    </w:p>
    <w:p>
      <w:pPr>
        <w:spacing w:after="120" w:line="480" w:lineRule="auto"/>
      </w:pPr>
      <w:r>
        <w:rPr>
          <w:rFonts w:ascii="Times New Roman" w:hAnsi="Times New Roman"/>
          <w:sz w:val="24"/>
        </w:rPr>
        <w:t>Field Count Constraint. The irrigation format uses exactly four fields due to gemma3:4b's demonstrated failure mode with larger schemas. Beyond four fields, the model frequently generates nested structures (e.g., {"label": "H", "reason": "..."}) instead of the required flat format, resulting in parse failures. The flood format uses nine fields because validation testing used larger models (12B, 27B) capable of handling complex schemas.</w:t>
      </w:r>
    </w:p>
    <w:p>
      <w:pPr>
        <w:spacing w:after="120" w:line="480" w:lineRule="auto"/>
      </w:pPr>
      <w:r>
        <w:rPr>
          <w:rFonts w:ascii="Times New Roman" w:hAnsi="Times New Roman"/>
          <w:sz w:val="24"/>
        </w:rPr>
        <w:t>Sub-Option Handling. The flood format includes conditional sub-fields (elevation_feet, insurance_coverage) that are required only when specific primary decisions are selected. The irrigation format has no sub-options because skill execution uses environment-controlled magnitude sampling (Gaussian per-skill distributions) rather than agent-specified values.</w:t>
      </w:r>
    </w:p>
    <w:p>
      <w:pPr>
        <w:spacing w:after="120" w:line="480" w:lineRule="auto"/>
      </w:pPr>
      <w:r>
        <w:rPr>
          <w:rFonts w:ascii="Times New Roman" w:hAnsi="Times New Roman"/>
          <w:sz w:val="24"/>
        </w:rPr>
        <w:t>Secondary Actions. The flood format supports multi-skill execution (up to two actions per year) via the secondary_decision field. The irrigation format is single-skill only, reflecting the design constraint that water demand decisions are mutually exclusive within a given year.</w:t>
      </w:r>
    </w:p>
    <w:p>
      <w:pPr>
        <w:pStyle w:val="Heading3"/>
      </w:pPr>
      <w:r>
        <w:rPr>
          <w:rFonts w:ascii="Times New Roman" w:hAnsi="Times New Roman"/>
          <w:color w:val="000000"/>
        </w:rPr>
        <w:t>Schema Enforcement</w:t>
      </w:r>
    </w:p>
    <w:p>
      <w:pPr>
        <w:spacing w:after="120" w:line="480" w:lineRule="auto"/>
      </w:pPr>
      <w:r>
        <w:rPr>
          <w:rFonts w:ascii="Times New Roman" w:hAnsi="Times New Roman"/>
          <w:sz w:val="24"/>
        </w:rPr>
        <w:t>The governance engine validates all responses using the following checks:</w:t>
      </w:r>
    </w:p>
    <w:p>
      <w:pPr>
        <w:pStyle w:val="ListNumber"/>
      </w:pPr>
      <w:r>
        <w:rPr>
          <w:rFonts w:ascii="Times New Roman" w:hAnsi="Times New Roman"/>
          <w:sz w:val="24"/>
        </w:rPr>
        <w:t>1. Delimiter Presence. Response must contain both start and end markers.</w:t>
      </w:r>
    </w:p>
    <w:p>
      <w:pPr>
        <w:pStyle w:val="ListNumber"/>
      </w:pPr>
      <w:r>
        <w:rPr>
          <w:rFonts w:ascii="Times New Roman" w:hAnsi="Times New Roman"/>
          <w:sz w:val="24"/>
        </w:rPr>
        <w:t>2. JSON Validity. Content between delimiters must parse as valid JSON.</w:t>
      </w:r>
    </w:p>
    <w:p>
      <w:pPr>
        <w:pStyle w:val="ListNumber"/>
      </w:pPr>
      <w:r>
        <w:rPr>
          <w:rFonts w:ascii="Times New Roman" w:hAnsi="Times New Roman"/>
          <w:sz w:val="24"/>
        </w:rPr>
        <w:t>3. Required Fields. All fields marked as required must be present with non-null values.</w:t>
      </w:r>
    </w:p>
    <w:p>
      <w:pPr>
        <w:pStyle w:val="ListNumber"/>
      </w:pPr>
      <w:r>
        <w:rPr>
          <w:rFonts w:ascii="Times New Roman" w:hAnsi="Times New Roman"/>
          <w:sz w:val="24"/>
        </w:rPr>
        <w:t>4. Type Checking. Appraisal fields must be one of {VL, L, M, H, VH}. Choice fields must be valid numeric IDs.</w:t>
      </w:r>
    </w:p>
    <w:p>
      <w:pPr>
        <w:pStyle w:val="ListNumber"/>
      </w:pPr>
      <w:r>
        <w:rPr>
          <w:rFonts w:ascii="Times New Roman" w:hAnsi="Times New Roman"/>
          <w:sz w:val="24"/>
        </w:rPr>
        <w:t>5. Conditional Requirements. Sub-fields (elevation_feet, insurance_coverage) must be present when their triggering decision is selected.</w:t>
      </w:r>
    </w:p>
    <w:p>
      <w:pPr>
        <w:pStyle w:val="ListNumber"/>
      </w:pPr>
      <w:r>
        <w:rPr>
          <w:rFonts w:ascii="Times New Roman" w:hAnsi="Times New Roman"/>
          <w:sz w:val="24"/>
        </w:rPr>
        <w:t>6. Range Validation. Numeric fields must satisfy min/max constraints (e.g., elevation_feet in {3, 5, 8}).</w:t>
      </w:r>
    </w:p>
    <w:p>
      <w:pPr>
        <w:spacing w:after="120" w:line="480" w:lineRule="auto"/>
      </w:pPr>
      <w:r>
        <w:rPr>
          <w:rFonts w:ascii="Times New Roman" w:hAnsi="Times New Roman"/>
          <w:sz w:val="24"/>
        </w:rPr>
        <w:t>If validation fails, the governance engine generates an intervention report documenting the failure mode and triggers a retry (up to 3 attempts). If all retries fail, the agent is assigned the default skill (maintain_demand for irrigation, do_nothing for flood).</w:t>
      </w:r>
    </w:p>
    <w:p>
      <w:r>
        <w:br w:type="page"/>
      </w:r>
    </w:p>
    <w:p>
      <w:pPr>
        <w:pStyle w:val="Heading1"/>
      </w:pPr>
      <w:r>
        <w:rPr>
          <w:rFonts w:ascii="Times New Roman" w:hAnsi="Times New Roman"/>
          <w:color w:val="000000"/>
        </w:rPr>
        <w:t>S2. Governance Retry Mechanism and EarlyExit</w:t>
      </w:r>
    </w:p>
    <w:p>
      <w:pPr>
        <w:pStyle w:val="Heading2"/>
      </w:pPr>
      <w:r>
        <w:rPr>
          <w:rFonts w:ascii="Times New Roman" w:hAnsi="Times New Roman"/>
          <w:color w:val="000000"/>
        </w:rPr>
        <w:t>S2.1 InterventionReport Structure</w:t>
      </w:r>
    </w:p>
    <w:p>
      <w:pPr>
        <w:spacing w:after="120" w:line="480" w:lineRule="auto"/>
      </w:pPr>
      <w:r>
        <w:rPr>
          <w:rFonts w:ascii="Times New Roman" w:hAnsi="Times New Roman"/>
          <w:sz w:val="24"/>
        </w:rPr>
        <w:t>When governance validation fails, the broker generates an InterventionReport for each blocking rule. The report structure captures the violation context and provides optional guidance for retry attempts:</w:t>
      </w:r>
    </w:p>
    <w:p>
      <w:pPr>
        <w:spacing w:before="120" w:after="120"/>
        <w:ind w:left="567"/>
      </w:pPr>
      <w:r>
        <w:rPr>
          <w:rFonts w:ascii="Consolas" w:hAnsi="Consolas"/>
          <w:sz w:val="18"/>
        </w:rPr>
        <w:t>@dataclass</w:t>
        <w:br/>
        <w:t>class InterventionReport:</w:t>
        <w:br/>
        <w:t xml:space="preserve">    rule_id: str                     # Unique identifier of the blocking rule</w:t>
        <w:br/>
        <w:t xml:space="preserve">    blocked_skill: str               # The skill that triggered the violation</w:t>
        <w:br/>
        <w:t xml:space="preserve">    violation_summary: str           # Human-readable explanation of the violation</w:t>
        <w:br/>
        <w:t xml:space="preserve">    suggested_correction: str | None # Optional hint for LLM retry</w:t>
        <w:br/>
        <w:t xml:space="preserve">    severity: str = "ERROR"          # Severity level (ERROR or WARNING)</w:t>
        <w:br/>
        <w:t xml:space="preserve">    domain_context: dict             # Additional metadata for analysis</w:t>
      </w:r>
    </w:p>
    <w:p>
      <w:pPr>
        <w:spacing w:after="120" w:line="480" w:lineRule="auto"/>
      </w:pPr>
      <w:r>
        <w:rPr>
          <w:rFonts w:ascii="Times New Roman" w:hAnsi="Times New Roman"/>
          <w:sz w:val="24"/>
        </w:rPr>
        <w:t>The report is serialized for LLM consumption via to_prompt_string(), which formats the violation information in natural language:</w:t>
      </w:r>
    </w:p>
    <w:p>
      <w:pPr>
        <w:spacing w:before="120" w:after="120"/>
        <w:ind w:left="567"/>
      </w:pPr>
      <w:r>
        <w:rPr>
          <w:rFonts w:ascii="Consolas" w:hAnsi="Consolas"/>
          <w:sz w:val="18"/>
        </w:rPr>
        <w:t>- [ERROR] Your proposed action 'increase_large' was BLOCKED.</w:t>
        <w:br/>
        <w:t xml:space="preserve">  - Reason: Demand increase blocked: Tier 2 shortage (10% curtailment).</w:t>
        <w:br/>
        <w:t xml:space="preserve">    Conservation is mandatory under DCP operations.</w:t>
        <w:br/>
        <w:t xml:space="preserve">  - Suggestion: Tier 2 shortage blocks all increases. Remaining feasible:</w:t>
        <w:br/>
        <w:t xml:space="preserve">    maintain_demand, decrease_small, decrease_large.</w:t>
      </w:r>
    </w:p>
    <w:p>
      <w:pPr>
        <w:spacing w:after="120" w:line="480" w:lineRule="auto"/>
      </w:pPr>
      <w:r>
        <w:rPr>
          <w:rFonts w:ascii="Times New Roman" w:hAnsi="Times New Roman"/>
          <w:sz w:val="24"/>
        </w:rPr>
        <w:t>This format provides the LLM with explicit feedback on what failed, why the violation occurred, and which alternative actions remain valid under the current governance constraints.</w:t>
      </w:r>
    </w:p>
    <w:p>
      <w:pPr>
        <w:pStyle w:val="Heading2"/>
      </w:pPr>
      <w:r>
        <w:rPr>
          <w:rFonts w:ascii="Times New Roman" w:hAnsi="Times New Roman"/>
          <w:color w:val="000000"/>
        </w:rPr>
        <w:t>S2.2 Retry Prompt Injection</w:t>
      </w:r>
    </w:p>
    <w:p>
      <w:pPr>
        <w:spacing w:after="120" w:line="480" w:lineRule="auto"/>
      </w:pPr>
      <w:r>
        <w:rPr>
          <w:rFonts w:ascii="Times New Roman" w:hAnsi="Times New Roman"/>
          <w:sz w:val="24"/>
        </w:rPr>
        <w:t>When validation fails with severity level ERROR, the broker constructs a retry prompt by prepending governance feedback to the original agent prompt. The retry prompt structure is:</w:t>
      </w:r>
    </w:p>
    <w:p>
      <w:pPr>
        <w:spacing w:before="120" w:after="120"/>
        <w:ind w:left="567"/>
      </w:pPr>
      <w:r>
        <w:rPr>
          <w:rFonts w:ascii="Consolas" w:hAnsi="Consolas"/>
          <w:sz w:val="18"/>
        </w:rPr>
        <w:t>Your previous response was flagged by the governance layer.</w:t>
        <w:br/>
        <w:br/>
        <w:t>**Issues Detected:**</w:t>
        <w:br/>
        <w:t>- [ERROR] Your proposed action 'increase_large' was BLOCKED.</w:t>
        <w:br/>
        <w:t xml:space="preserve">  - Reason: [violation_summary]</w:t>
        <w:br/>
        <w:t xml:space="preserve">  - Suggestion: [suggested_correction]</w:t>
        <w:br/>
        <w:br/>
        <w:t>Please reconsider your decision. Ensure your new response addresses</w:t>
        <w:br/>
        <w:t>the violations above.</w:t>
        <w:br/>
        <w:br/>
        <w:t>[Original prompt repeated in full]</w:t>
      </w:r>
    </w:p>
    <w:p>
      <w:pPr>
        <w:spacing w:after="120" w:line="480" w:lineRule="auto"/>
      </w:pPr>
      <w:r>
        <w:rPr>
          <w:rFonts w:ascii="Times New Roman" w:hAnsi="Times New Roman"/>
          <w:sz w:val="24"/>
        </w:rPr>
        <w:t>The broker then re-invokes the LLM with this augmented prompt, allowing the model to adjust its reasoning based on the governance feedback. Configuration parameters control the retry behavior: max_retries: 3 limits the number of retry attempts per agent-year, while max_reports_per_retry: 3 truncates the feedback to the top three most critical violations to conserve context window capacity. When more than three rules fire simultaneously, only the highest-priority reports are included, with a note indicating that additional issues exist but are omitted for brevity.</w:t>
      </w:r>
    </w:p>
    <w:p>
      <w:pPr>
        <w:pStyle w:val="Heading2"/>
      </w:pPr>
      <w:r>
        <w:rPr>
          <w:rFonts w:ascii="Times New Roman" w:hAnsi="Times New Roman"/>
          <w:color w:val="000000"/>
        </w:rPr>
        <w:t>S2.3 Three-Tier Suggestion Design</w:t>
      </w:r>
    </w:p>
    <w:p>
      <w:pPr>
        <w:spacing w:after="120" w:line="480" w:lineRule="auto"/>
      </w:pPr>
      <w:r>
        <w:rPr>
          <w:rFonts w:ascii="Times New Roman" w:hAnsi="Times New Roman"/>
          <w:sz w:val="24"/>
        </w:rPr>
        <w:t>Governance suggestions are structured according to a three-tier framework designed to provide appropriate guidance while minimizing inadvertent behavioral steering. The tier classification is based on the nature of the constraint and the degree of agent autonomy required in the response: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jc w:val="left"/>
            </w:pPr>
            <w:r/>
            <w:r>
              <w:rPr>
                <w:rFonts w:ascii="Times New Roman" w:hAnsi="Times New Roman"/>
                <w:b/>
                <w:sz w:val="20"/>
              </w:rPr>
              <w:t>Tier</w:t>
            </w:r>
          </w:p>
        </w:tc>
        <w:tc>
          <w:tcPr>
            <w:tcW w:type="dxa" w:w="2268"/>
          </w:tcPr>
          <w:p>
            <w:pPr>
              <w:jc w:val="left"/>
            </w:pPr>
            <w:r/>
            <w:r>
              <w:rPr>
                <w:rFonts w:ascii="Times New Roman" w:hAnsi="Times New Roman"/>
                <w:b/>
                <w:sz w:val="20"/>
              </w:rPr>
              <w:t>Content</w:t>
            </w:r>
          </w:p>
        </w:tc>
        <w:tc>
          <w:tcPr>
            <w:tcW w:type="dxa" w:w="2268"/>
          </w:tcPr>
          <w:p>
            <w:pPr>
              <w:jc w:val="left"/>
            </w:pPr>
            <w:r/>
            <w:r>
              <w:rPr>
                <w:rFonts w:ascii="Times New Roman" w:hAnsi="Times New Roman"/>
                <w:b/>
                <w:sz w:val="20"/>
              </w:rPr>
              <w:t>Used By</w:t>
            </w:r>
          </w:p>
        </w:tc>
        <w:tc>
          <w:tcPr>
            <w:tcW w:type="dxa" w:w="2268"/>
          </w:tcPr>
          <w:p>
            <w:pPr>
              <w:jc w:val="left"/>
            </w:pPr>
            <w:r/>
            <w:r>
              <w:rPr>
                <w:rFonts w:ascii="Times New Roman" w:hAnsi="Times New Roman"/>
                <w:b/>
                <w:sz w:val="20"/>
              </w:rPr>
              <w:t>Rationale</w:t>
            </w:r>
          </w:p>
        </w:tc>
      </w:tr>
      <w:tr>
        <w:tc>
          <w:tcPr>
            <w:tcW w:type="dxa" w:w="2268"/>
          </w:tcPr>
          <w:p>
            <w:pPr>
              <w:jc w:val="left"/>
            </w:pPr>
            <w:r/>
            <w:r>
              <w:rPr>
                <w:rFonts w:ascii="Times New Roman" w:hAnsi="Times New Roman"/>
                <w:b w:val="0"/>
                <w:sz w:val="20"/>
              </w:rPr>
              <w:t>A</w:t>
            </w:r>
          </w:p>
        </w:tc>
        <w:tc>
          <w:tcPr>
            <w:tcW w:type="dxa" w:w="2268"/>
          </w:tcPr>
          <w:p>
            <w:pPr>
              <w:jc w:val="left"/>
            </w:pPr>
            <w:r/>
            <w:r>
              <w:rPr>
                <w:rFonts w:ascii="Times New Roman" w:hAnsi="Times New Roman"/>
                <w:b w:val="0"/>
                <w:sz w:val="20"/>
              </w:rPr>
              <w:t>No suggestion</w:t>
            </w:r>
          </w:p>
        </w:tc>
        <w:tc>
          <w:tcPr>
            <w:tcW w:type="dxa" w:w="2268"/>
          </w:tcPr>
          <w:p>
            <w:pPr>
              <w:jc w:val="left"/>
            </w:pPr>
            <w:r/>
            <w:r>
              <w:rPr>
                <w:rFonts w:ascii="Times New Roman" w:hAnsi="Times New Roman"/>
                <w:b w:val="0"/>
                <w:sz w:val="20"/>
              </w:rPr>
              <w:t>Physical impossibility rules (water_right_cap, non_negative_diversion, minimum_utilisation)</w:t>
            </w:r>
          </w:p>
        </w:tc>
        <w:tc>
          <w:tcPr>
            <w:tcW w:type="dxa" w:w="2268"/>
          </w:tcPr>
          <w:p>
            <w:pPr>
              <w:jc w:val="left"/>
            </w:pPr>
            <w:r/>
            <w:r>
              <w:rPr>
                <w:rFonts w:ascii="Times New Roman" w:hAnsi="Times New Roman"/>
                <w:b w:val="0"/>
                <w:sz w:val="20"/>
              </w:rPr>
              <w:t>Violation reason is self-evident from hydrological constraints; no alternative guidance needed</w:t>
            </w:r>
          </w:p>
        </w:tc>
      </w:tr>
      <w:tr>
        <w:tc>
          <w:tcPr>
            <w:tcW w:type="dxa" w:w="2268"/>
          </w:tcPr>
          <w:p>
            <w:pPr>
              <w:jc w:val="left"/>
            </w:pPr>
            <w:r/>
            <w:r>
              <w:rPr>
                <w:rFonts w:ascii="Times New Roman" w:hAnsi="Times New Roman"/>
                <w:b w:val="0"/>
                <w:sz w:val="20"/>
              </w:rPr>
              <w:t>B</w:t>
            </w:r>
          </w:p>
        </w:tc>
        <w:tc>
          <w:tcPr>
            <w:tcW w:type="dxa" w:w="2268"/>
          </w:tcPr>
          <w:p>
            <w:pPr>
              <w:jc w:val="left"/>
            </w:pPr>
            <w:r/>
            <w:r>
              <w:rPr>
                <w:rFonts w:ascii="Times New Roman" w:hAnsi="Times New Roman"/>
                <w:b w:val="0"/>
                <w:sz w:val="20"/>
              </w:rPr>
              <w:t>Neutral skill enumeration</w:t>
            </w:r>
          </w:p>
        </w:tc>
        <w:tc>
          <w:tcPr>
            <w:tcW w:type="dxa" w:w="2268"/>
          </w:tcPr>
          <w:p>
            <w:pPr>
              <w:jc w:val="left"/>
            </w:pPr>
            <w:r/>
            <w:r>
              <w:rPr>
                <w:rFonts w:ascii="Times New Roman" w:hAnsi="Times New Roman"/>
                <w:b w:val="0"/>
                <w:sz w:val="20"/>
              </w:rPr>
              <w:t>Institutional rules (curtailment_awareness, drought_severity, supply_gap, consecutive_increase_cap)</w:t>
            </w:r>
          </w:p>
        </w:tc>
        <w:tc>
          <w:tcPr>
            <w:tcW w:type="dxa" w:w="2268"/>
          </w:tcPr>
          <w:p>
            <w:pPr>
              <w:jc w:val="left"/>
            </w:pPr>
            <w:r/>
            <w:r>
              <w:rPr>
                <w:rFonts w:ascii="Times New Roman" w:hAnsi="Times New Roman"/>
                <w:b w:val="0"/>
                <w:sz w:val="20"/>
              </w:rPr>
              <w:t>Lists all remaining feasible skills without preference ordering: "Remaining feasible: maintain_demand, decrease_small, decrease_large"</w:t>
            </w:r>
          </w:p>
        </w:tc>
      </w:tr>
      <w:tr>
        <w:tc>
          <w:tcPr>
            <w:tcW w:type="dxa" w:w="2268"/>
          </w:tcPr>
          <w:p>
            <w:pPr>
              <w:jc w:val="left"/>
            </w:pPr>
            <w:r/>
            <w:r>
              <w:rPr>
                <w:rFonts w:ascii="Times New Roman" w:hAnsi="Times New Roman"/>
                <w:b w:val="0"/>
                <w:sz w:val="20"/>
              </w:rPr>
              <w:t>C</w:t>
            </w:r>
          </w:p>
        </w:tc>
        <w:tc>
          <w:tcPr>
            <w:tcW w:type="dxa" w:w="2268"/>
          </w:tcPr>
          <w:p>
            <w:pPr>
              <w:jc w:val="left"/>
            </w:pPr>
            <w:r/>
            <w:r>
              <w:rPr>
                <w:rFonts w:ascii="Times New Roman" w:hAnsi="Times New Roman"/>
                <w:b w:val="0"/>
                <w:sz w:val="20"/>
              </w:rPr>
              <w:t>No suggestion</w:t>
            </w:r>
          </w:p>
        </w:tc>
        <w:tc>
          <w:tcPr>
            <w:tcW w:type="dxa" w:w="2268"/>
          </w:tcPr>
          <w:p>
            <w:pPr>
              <w:jc w:val="left"/>
            </w:pPr>
            <w:r/>
            <w:r>
              <w:rPr>
                <w:rFonts w:ascii="Times New Roman" w:hAnsi="Times New Roman"/>
                <w:b w:val="0"/>
                <w:sz w:val="20"/>
              </w:rPr>
              <w:t>Behavioral rules (demand_floor_stabilizer, demand_ceiling_stabilizer, zero_escape)</w:t>
            </w:r>
          </w:p>
        </w:tc>
        <w:tc>
          <w:tcPr>
            <w:tcW w:type="dxa" w:w="2268"/>
          </w:tcPr>
          <w:p>
            <w:pPr>
              <w:jc w:val="left"/>
            </w:pPr>
            <w:r/>
            <w:r>
              <w:rPr>
                <w:rFonts w:ascii="Times New Roman" w:hAnsi="Times New Roman"/>
                <w:b w:val="0"/>
                <w:sz w:val="20"/>
              </w:rPr>
              <w:t>Agent should decide autonomously based on internal reasoning and persona attributes</w:t>
            </w:r>
          </w:p>
        </w:tc>
      </w:tr>
    </w:tbl>
    <w:p/>
    <w:p>
      <w:pPr>
        <w:spacing w:after="120" w:line="480" w:lineRule="auto"/>
      </w:pPr>
      <w:r>
        <w:rPr>
          <w:rFonts w:ascii="Times New Roman" w:hAnsi="Times New Roman"/>
          <w:sz w:val="24"/>
        </w:rPr>
        <w:t>The neutral enumeration approach in Tier B was adopted after empirical evidence revealed significant suggestion bias in early framework versions. In development iteration v14, suggestions employed directive language such as "Choose decrease_demand to reduce water stress." This phrasing caused the gemma3:4b model to select decrease_demand in more than 90% of retry attempts, regardless of the agent's configured persona (aggressive, forward-looking, or myopic) or the prevailing hydrological context. Neutralizing suggestions to factual skill enumeration in v15 reduced this steering effect substantially and restored persona-differentiated retry behavior.</w:t>
      </w:r>
    </w:p>
    <w:p>
      <w:pPr>
        <w:spacing w:after="120" w:line="480" w:lineRule="auto"/>
      </w:pPr>
      <w:r>
        <w:rPr>
          <w:rFonts w:ascii="Times New Roman" w:hAnsi="Times New Roman"/>
          <w:sz w:val="24"/>
        </w:rPr>
        <w:t>This finding is consistent with the instruction-following bias documented in small language models, where explicit suggestions are interpreted as imperative commands rather than optional guidance. For models under 10 billion parameters, governance suggestions function as de facto directives, effectively overriding the agent's internal decision heuristics. The three-tier framework mitigates this bias by withholding suggestions for constraints where agent autonomy is theoretically critical (Tier C) or where the violation is physically unambiguous (Tier A), while providing neutral factual information for institutional constraints where the legal-regulatory landscape may not be immediately apparent to the agent (Tier B).</w:t>
      </w:r>
    </w:p>
    <w:p>
      <w:pPr>
        <w:pStyle w:val="Heading2"/>
      </w:pPr>
      <w:r>
        <w:rPr>
          <w:rFonts w:ascii="Times New Roman" w:hAnsi="Times New Roman"/>
          <w:color w:val="000000"/>
        </w:rPr>
        <w:t>S2.4 EarlyExit Algorithm</w:t>
      </w:r>
    </w:p>
    <w:p>
      <w:pPr>
        <w:spacing w:after="120" w:line="480" w:lineRule="auto"/>
      </w:pPr>
      <w:r>
        <w:rPr>
          <w:rFonts w:ascii="Times New Roman" w:hAnsi="Times New Roman"/>
          <w:sz w:val="24"/>
        </w:rPr>
        <w:t>The governance retry loop includes an early-exit optimization designed to terminate futile retry attempts when blocking conditions are immutable. The algorithm distinguishes between *deterministic* rules, whose trigger conditions depend solely on static agent attributes that cannot change between retries, and *non-deterministic* rules, whose conditions depend on LLM-generated cognitive constructs that may change as the model reconsiders its reasoning.</w:t>
      </w:r>
    </w:p>
    <w:p>
      <w:r>
        <w:rPr>
          <w:rFonts w:ascii="Times New Roman" w:hAnsi="Times New Roman"/>
          <w:b/>
          <w:sz w:val="24"/>
        </w:rPr>
        <w:t>Algorithm: EarlyExit for Governance Retry Loop</w:t>
      </w:r>
    </w:p>
    <w:p>
      <w:pPr>
        <w:spacing w:before="120" w:after="120"/>
        <w:ind w:left="567"/>
      </w:pPr>
      <w:r>
        <w:rPr>
          <w:rFonts w:ascii="Consolas" w:hAnsi="Consolas"/>
          <w:sz w:val="18"/>
        </w:rPr>
        <w:t>Input: initial_validation_results, max_retries</w:t>
        <w:br/>
        <w:t>prev_blocking_rules ← extract_rule_ids(initial_validation_results)</w:t>
        <w:br/>
        <w:br/>
        <w:t>FOR retry = 1 TO max_retries:</w:t>
        <w:br/>
        <w:t xml:space="preserve">  1. Build InterventionReports from validation_results</w:t>
        <w:br/>
        <w:t xml:space="preserve">  2. Format retry prompt with governance feedback</w:t>
        <w:br/>
        <w:t xml:space="preserve">  3. Re-invoke LLM → new_output</w:t>
        <w:br/>
        <w:t xml:space="preserve">  4. Parse new_output → new_proposal</w:t>
        <w:br/>
        <w:t xml:space="preserve">  5. Validate new_proposal → new_validation_results</w:t>
        <w:br/>
        <w:br/>
        <w:t xml:space="preserve">  IF new_validation_results all pass:</w:t>
        <w:br/>
        <w:t xml:space="preserve">    RETURN (new_proposal, RETRY_SUCCESS)</w:t>
        <w:br/>
        <w:br/>
        <w:t xml:space="preserve">  current_blocking ← extract_rule_ids(new_validation_results)</w:t>
        <w:br/>
        <w:t xml:space="preserve">  all_deterministic ← check_all_deterministic(new_validation_results)</w:t>
        <w:br/>
        <w:br/>
        <w:t xml:space="preserve">  IF current_blocking == prev_blocking_rules AND all_deterministic:</w:t>
        <w:br/>
        <w:t xml:space="preserve">    LOG "EarlyExit: deterministic rules unchanged, skipping remaining retries"</w:t>
        <w:br/>
        <w:t xml:space="preserve">    BREAK</w:t>
        <w:br/>
        <w:br/>
        <w:t xml:space="preserve">  prev_blocking_rules ← current_blocking</w:t>
        <w:br/>
        <w:br/>
        <w:t>RETURN (last_proposal, REJECTED)</w:t>
      </w:r>
    </w:p>
    <w:p>
      <w:pPr>
        <w:spacing w:after="120" w:line="480" w:lineRule="auto"/>
      </w:pPr>
      <w:r>
        <w:rPr>
          <w:rFonts w:ascii="Times New Roman" w:hAnsi="Times New Roman"/>
          <w:sz w:val="24"/>
        </w:rPr>
        <w:t>Deterministic vs. non-deterministic rules: A rule is classified as deterministic if its trigger condition depends solely on static agent attributes—such as income, property value, water right allocation, or basin affiliation—that remain constant within a single agent-year. Examples include water_right_cap (triggered when at_allocation_cap attribute is true), minimum_utilisation_floor (triggered when below_minimum_utilisation attribute is true), and affordability validators in the flood ABM (triggered when action cost exceeds fixed income thresholds). Non-deterministic rules depend on LLM-generated constructs such as threat perception (TP), coping perception (CP), water scarcity assessment (WSA_LABEL), or adaptive capacity assessment (ACA_LABEL). These constructs may change on retry as the LLM reconsiders its cognitive appraisal in response to governance feedback.</w:t>
      </w:r>
    </w:p>
    <w:p>
      <w:pPr>
        <w:spacing w:after="120" w:line="480" w:lineRule="auto"/>
      </w:pPr>
      <w:r>
        <w:rPr>
          <w:rFonts w:ascii="Times New Roman" w:hAnsi="Times New Roman"/>
          <w:sz w:val="24"/>
        </w:rPr>
        <w:t>The EarlyExit condition triggers when two criteria are simultaneously satisfied: (1) the set of blocking rule IDs is identical to the previous retry attempt, and (2) all blocking rules are deterministic. When both conditions hold, the blocking state is immutable—no amount of additional LLM invocations will produce a proposal that satisfies the governance constraints. The algorithm therefore terminates early and classifies the outcome as REJECTED, avoiding unnecessary computational cost.</w:t>
      </w:r>
    </w:p>
    <w:p>
      <w:pPr>
        <w:spacing w:after="120" w:line="480" w:lineRule="auto"/>
      </w:pPr>
      <w:r>
        <w:rPr>
          <w:rFonts w:ascii="Times New Roman" w:hAnsi="Times New Roman"/>
          <w:sz w:val="24"/>
        </w:rPr>
        <w:t>Empirical impact: In smoke validation experiments (78 agents, partial 2.6-year run), EarlyExit reduced total LLM calls by 46.4%, corresponding to 282 avoided invocations. Critically, this efficiency gain was achieved with no degradation in retry success rate—the optimization skips only those retry attempts that are provably futile. Agents whose blocking conditions depend on non-deterministic constructs (which may change upon reconsideration) still receive the full allotment of retry attempts, preserving the framework's capacity for self-correction where it is theoretically possible.</w:t>
      </w:r>
    </w:p>
    <w:p>
      <w:pPr>
        <w:pStyle w:val="Heading2"/>
      </w:pPr>
      <w:r>
        <w:rPr>
          <w:rFonts w:ascii="Times New Roman" w:hAnsi="Times New Roman"/>
          <w:color w:val="000000"/>
        </w:rPr>
        <w:t>S2.5 REJECTED Fallback</w:t>
      </w:r>
    </w:p>
    <w:p>
      <w:pPr>
        <w:spacing w:after="120" w:line="480" w:lineRule="auto"/>
      </w:pPr>
      <w:r>
        <w:rPr>
          <w:rFonts w:ascii="Times New Roman" w:hAnsi="Times New Roman"/>
          <w:sz w:val="24"/>
        </w:rPr>
        <w:t>When all retry attempts are exhausted without achieving a governance-compliant proposal, the agent's outcome is classified as REJECTED. To maintain simulation integrity, the framework executes a domain-specific fallback skill that is guaranteed to satisfy all governance constraints:</w:t>
      </w:r>
    </w:p>
    <w:p>
      <w:pPr>
        <w:pStyle w:val="ListBullet"/>
      </w:pPr>
      <w:r>
        <w:rPr>
          <w:rFonts w:ascii="Times New Roman" w:hAnsi="Times New Roman"/>
          <w:sz w:val="24"/>
        </w:rPr>
        <w:t>Irrigation ABM: maintain_demand — preserves the agent's previous-year water request, preventing demand collapse from failed increase attempts. This fallback is critical for maintaining basin-wide demand stability, as REJECTED outcomes without fallback would cause compound decay in subsequent years when the zero request becomes the new baseline.</w:t>
      </w:r>
    </w:p>
    <w:p>
      <w:pPr>
        <w:pStyle w:val="ListBullet"/>
      </w:pPr>
      <w:r>
        <w:rPr>
          <w:rFonts w:ascii="Times New Roman" w:hAnsi="Times New Roman"/>
          <w:sz w:val="24"/>
        </w:rPr>
        <w:t>Flood ABM: do_nothing — preserves the household's status quo protective action state. This fallback reflects the empirically dominant behavioral response (60-70% base rate in post-disaster surveys) and ensures that inaction is modeled as a deliberate choice rather than a simulation artifact.</w:t>
      </w:r>
    </w:p>
    <w:p>
      <w:pPr>
        <w:spacing w:after="120" w:line="480" w:lineRule="auto"/>
      </w:pPr>
      <w:r>
        <w:rPr>
          <w:rFonts w:ascii="Times New Roman" w:hAnsi="Times New Roman"/>
          <w:sz w:val="24"/>
        </w:rPr>
        <w:t>The fallback skill is registered via the default_skill parameter in the skill parsing configuration and is exempted from construct-conditioned governance rules (e.g., rules that require consistency between threat perception and protective action choice). This exemption ensures that the fallback can always be executed successfully, even when the agent's cognitive state (as inferred from previous LLM outputs) would normally block all available skills.</w:t>
      </w:r>
    </w:p>
    <w:p>
      <w:pPr>
        <w:spacing w:after="120" w:line="480" w:lineRule="auto"/>
      </w:pPr>
      <w:r>
        <w:rPr>
          <w:rFonts w:ascii="Times New Roman" w:hAnsi="Times New Roman"/>
          <w:sz w:val="24"/>
        </w:rPr>
        <w:t>The REJECTED fallback mechanism guarantees that every agent produces a valid executed action in every simulation year, eliminating the possibility of undefined state transitions due to governance enforcement. This design choice reflects a fundamental principle of the framework: governance should constrain agent behavior, not cause simulation failure. The fallback represents the minimum viable action—maintaining the status quo—when the LLM persistently generates proposals that violate governance constraints.</w:t>
      </w:r>
    </w:p>
    <w:p>
      <w:r>
        <w:br w:type="page"/>
      </w:r>
    </w:p>
    <w:p>
      <w:pPr>
        <w:pStyle w:val="Heading1"/>
      </w:pPr>
      <w:r>
        <w:rPr>
          <w:rFonts w:ascii="Times New Roman" w:hAnsi="Times New Roman"/>
          <w:color w:val="000000"/>
        </w:rPr>
        <w:t>Part B: Flood Case Study</w:t>
      </w:r>
    </w:p>
    <w:p>
      <w:pPr>
        <w:pStyle w:val="Heading2"/>
      </w:pPr>
      <w:r>
        <w:rPr>
          <w:rFonts w:ascii="Times New Roman" w:hAnsi="Times New Roman"/>
          <w:color w:val="000000"/>
        </w:rPr>
        <w:t>S3. Flood Cross-Model Metrics</w:t>
      </w:r>
    </w:p>
    <w:p>
      <w:pPr>
        <w:spacing w:after="120" w:line="480" w:lineRule="auto"/>
      </w:pPr>
      <w:r>
        <w:rPr>
          <w:rFonts w:ascii="Times New Roman" w:hAnsi="Times New Roman"/>
          <w:sz w:val="24"/>
        </w:rPr>
        <w:t>Table S1: Complete 18-row multi-model data (6 models x 3 groups): R_R, H_norm, EHE, FF. [Retained from SAGE_WRR_SI_Tables_v5.docx]</w:t>
      </w:r>
    </w:p>
    <w:p>
      <w:pPr>
        <w:spacing w:after="120" w:line="480" w:lineRule="auto"/>
      </w:pPr>
      <w:r>
        <w:rPr>
          <w:rFonts w:ascii="Times New Roman" w:hAnsi="Times New Roman"/>
          <w:sz w:val="24"/>
        </w:rPr>
        <w:t>Table S2: R_H (strict feasibility safety diagnostic) by model size. [Retained from SAGE_WRR_SI_Tables_v5.docx]</w:t>
      </w:r>
    </w:p>
    <w:p/>
    <w:p>
      <w:pPr>
        <w:pStyle w:val="Heading3"/>
      </w:pPr>
      <w:r>
        <w:rPr>
          <w:rFonts w:ascii="Times New Roman" w:hAnsi="Times New Roman"/>
          <w:color w:val="000000"/>
        </w:rPr>
        <w:t>S7. Behavioral Diagnostic Examples (Flood Case)</w:t>
      </w:r>
    </w:p>
    <w:p>
      <w:pPr>
        <w:spacing w:after="120" w:line="480" w:lineRule="auto"/>
      </w:pPr>
      <w:r>
        <w:rPr>
          <w:rFonts w:ascii="Times New Roman" w:hAnsi="Times New Roman"/>
          <w:sz w:val="24"/>
        </w:rPr>
        <w:t>This section documents decision-level examples for the two diagnostic channels used in the manuscript:</w:t>
      </w:r>
    </w:p>
    <w:p>
      <w:pPr>
        <w:pStyle w:val="ListNumber"/>
      </w:pPr>
      <w:r>
        <w:rPr>
          <w:rFonts w:ascii="Times New Roman" w:hAnsi="Times New Roman"/>
          <w:sz w:val="24"/>
        </w:rPr>
        <w:t>1. Feasibility hallucination (R_H): identity/precondition contradiction.</w:t>
      </w:r>
    </w:p>
    <w:p>
      <w:pPr>
        <w:pStyle w:val="ListNumber"/>
      </w:pPr>
      <w:r>
        <w:rPr>
          <w:rFonts w:ascii="Times New Roman" w:hAnsi="Times New Roman"/>
          <w:sz w:val="24"/>
        </w:rPr>
        <w:t>2. Rationality deviation (R_R): thinking-rule coherence contradiction.</w:t>
      </w:r>
    </w:p>
    <w:p>
      <w:pPr>
        <w:spacing w:after="120" w:line="480" w:lineRule="auto"/>
      </w:pPr>
      <w:r>
        <w:rPr>
          <w:rFonts w:ascii="Times New Roman" w:hAnsi="Times New Roman"/>
          <w:sz w:val="24"/>
        </w:rPr>
        <w:t>All cases are trace-backed from raw/household_traces.jsonl under:</w:t>
      </w:r>
    </w:p>
    <w:p>
      <w:pPr>
        <w:spacing w:after="120" w:line="480" w:lineRule="auto"/>
      </w:pPr>
      <w:r>
        <w:rPr>
          <w:rFonts w:ascii="Times New Roman" w:hAnsi="Times New Roman"/>
          <w:sz w:val="24"/>
        </w:rPr>
        <w:t>examples/single_agent/results/JOH_FINAL/*/Group_*/Run_*/raw/.</w:t>
      </w:r>
    </w:p>
    <w:p>
      <w:pPr>
        <w:pStyle w:val="Heading4"/>
      </w:pPr>
      <w:r>
        <w:rPr>
          <w:rFonts w:ascii="Times New Roman" w:hAnsi="Times New Roman"/>
          <w:color w:val="000000"/>
        </w:rPr>
        <w:t>S7.1 Why this section is needed</w:t>
      </w:r>
    </w:p>
    <w:p>
      <w:pPr>
        <w:pStyle w:val="ListBullet"/>
      </w:pPr>
      <w:r>
        <w:rPr>
          <w:rFonts w:ascii="Times New Roman" w:hAnsi="Times New Roman"/>
          <w:sz w:val="24"/>
        </w:rPr>
        <w:t>R_H and R_R are population-level rates; this section shows what flagged rows look like at decision level.</w:t>
      </w:r>
    </w:p>
    <w:p>
      <w:pPr>
        <w:pStyle w:val="ListBullet"/>
      </w:pPr>
      <w:r>
        <w:rPr>
          <w:rFonts w:ascii="Times New Roman" w:hAnsi="Times New Roman"/>
          <w:sz w:val="24"/>
        </w:rPr>
        <w:t>The purpose is auditability: each case includes file path, line, state, proposed skill, and validator outcome.</w:t>
      </w:r>
    </w:p>
    <w:p>
      <w:pPr>
        <w:pStyle w:val="ListBullet"/>
      </w:pPr>
      <w:r>
        <w:rPr>
          <w:rFonts w:ascii="Times New Roman" w:hAnsi="Times New Roman"/>
          <w:sz w:val="24"/>
        </w:rPr>
        <w:t>The examples are selected from governed traces (Group B/C), where proposal and state are logged in the same row.</w:t>
      </w:r>
    </w:p>
    <w:p>
      <w:pPr>
        <w:pStyle w:val="Heading4"/>
      </w:pPr>
      <w:r>
        <w:rPr>
          <w:rFonts w:ascii="Times New Roman" w:hAnsi="Times New Roman"/>
          <w:color w:val="000000"/>
        </w:rPr>
        <w:t>S7.2 Verified decision-level examples</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jc w:val="left"/>
            </w:pPr>
            <w:r/>
            <w:r>
              <w:rPr>
                <w:rFonts w:ascii="Times New Roman" w:hAnsi="Times New Roman"/>
                <w:b/>
                <w:sz w:val="20"/>
              </w:rPr>
              <w:t>Case ID</w:t>
            </w:r>
          </w:p>
        </w:tc>
        <w:tc>
          <w:tcPr>
            <w:tcW w:type="dxa" w:w="1512"/>
          </w:tcPr>
          <w:p>
            <w:pPr>
              <w:jc w:val="left"/>
            </w:pPr>
            <w:r/>
            <w:r>
              <w:rPr>
                <w:rFonts w:ascii="Times New Roman" w:hAnsi="Times New Roman"/>
                <w:b/>
                <w:sz w:val="20"/>
              </w:rPr>
              <w:t>Category</w:t>
            </w:r>
          </w:p>
        </w:tc>
        <w:tc>
          <w:tcPr>
            <w:tcW w:type="dxa" w:w="1512"/>
          </w:tcPr>
          <w:p>
            <w:pPr>
              <w:jc w:val="left"/>
            </w:pPr>
            <w:r/>
            <w:r>
              <w:rPr>
                <w:rFonts w:ascii="Times New Roman" w:hAnsi="Times New Roman"/>
                <w:b/>
                <w:sz w:val="20"/>
              </w:rPr>
              <w:t>Source</w:t>
            </w:r>
          </w:p>
        </w:tc>
        <w:tc>
          <w:tcPr>
            <w:tcW w:type="dxa" w:w="1512"/>
          </w:tcPr>
          <w:p>
            <w:pPr>
              <w:jc w:val="left"/>
            </w:pPr>
            <w:r/>
            <w:r>
              <w:rPr>
                <w:rFonts w:ascii="Times New Roman" w:hAnsi="Times New Roman"/>
                <w:b/>
                <w:sz w:val="20"/>
              </w:rPr>
              <w:t>Agent-Year</w:t>
            </w:r>
          </w:p>
        </w:tc>
        <w:tc>
          <w:tcPr>
            <w:tcW w:type="dxa" w:w="1512"/>
          </w:tcPr>
          <w:p>
            <w:pPr>
              <w:jc w:val="left"/>
            </w:pPr>
            <w:r/>
            <w:r>
              <w:rPr>
                <w:rFonts w:ascii="Times New Roman" w:hAnsi="Times New Roman"/>
                <w:b/>
                <w:sz w:val="20"/>
              </w:rPr>
              <w:t>Observed decision</w:t>
            </w:r>
          </w:p>
        </w:tc>
        <w:tc>
          <w:tcPr>
            <w:tcW w:type="dxa" w:w="1512"/>
          </w:tcPr>
          <w:p>
            <w:pPr>
              <w:jc w:val="left"/>
            </w:pPr>
            <w:r/>
            <w:r>
              <w:rPr>
                <w:rFonts w:ascii="Times New Roman" w:hAnsi="Times New Roman"/>
                <w:b/>
                <w:sz w:val="20"/>
              </w:rPr>
              <w:t>Interpretation</w:t>
            </w:r>
          </w:p>
        </w:tc>
      </w:tr>
      <w:tr>
        <w:tc>
          <w:tcPr>
            <w:tcW w:type="dxa" w:w="1512"/>
          </w:tcPr>
          <w:p>
            <w:pPr>
              <w:jc w:val="left"/>
            </w:pPr>
            <w:r/>
            <w:r>
              <w:rPr>
                <w:rFonts w:ascii="Times New Roman" w:hAnsi="Times New Roman"/>
                <w:b w:val="0"/>
                <w:sz w:val="20"/>
              </w:rPr>
              <w:t>H1</w:t>
            </w:r>
          </w:p>
        </w:tc>
        <w:tc>
          <w:tcPr>
            <w:tcW w:type="dxa" w:w="1512"/>
          </w:tcPr>
          <w:p>
            <w:pPr>
              <w:jc w:val="left"/>
            </w:pPr>
            <w:r/>
            <w:r>
              <w:rPr>
                <w:rFonts w:ascii="Times New Roman" w:hAnsi="Times New Roman"/>
                <w:b w:val="0"/>
                <w:sz w:val="20"/>
              </w:rPr>
              <w:t>Feasibility hallucination (R_H)</w:t>
            </w:r>
          </w:p>
        </w:tc>
        <w:tc>
          <w:tcPr>
            <w:tcW w:type="dxa" w:w="1512"/>
          </w:tcPr>
          <w:p>
            <w:pPr>
              <w:jc w:val="left"/>
            </w:pPr>
            <w:r/>
            <w:r>
              <w:rPr>
                <w:rFonts w:ascii="Times New Roman" w:hAnsi="Times New Roman"/>
                <w:b w:val="0"/>
                <w:sz w:val="20"/>
              </w:rPr>
              <w:t>examples/single_agent/results/JOH_FINAL/ministral3_3b/Group_B/Run_1/raw/household_traces.jsonl (line 446)</w:t>
            </w:r>
          </w:p>
        </w:tc>
        <w:tc>
          <w:tcPr>
            <w:tcW w:type="dxa" w:w="1512"/>
          </w:tcPr>
          <w:p>
            <w:pPr>
              <w:jc w:val="left"/>
            </w:pPr>
            <w:r/>
            <w:r>
              <w:rPr>
                <w:rFonts w:ascii="Times New Roman" w:hAnsi="Times New Roman"/>
                <w:b w:val="0"/>
                <w:sz w:val="20"/>
              </w:rPr>
              <w:t>Agent_73, Year 5</w:t>
            </w:r>
          </w:p>
        </w:tc>
        <w:tc>
          <w:tcPr>
            <w:tcW w:type="dxa" w:w="1512"/>
          </w:tcPr>
          <w:p>
            <w:pPr>
              <w:jc w:val="left"/>
            </w:pPr>
            <w:r/>
            <w:r>
              <w:rPr>
                <w:rFonts w:ascii="Times New Roman" w:hAnsi="Times New Roman"/>
                <w:b w:val="0"/>
                <w:sz w:val="20"/>
              </w:rPr>
              <w:t>skill_name=elevate_house, state_before.elevated=True, outcome=REJECTED, retry_count=3; issue includes Precondition failed: 'not elevated'</w:t>
            </w:r>
          </w:p>
        </w:tc>
        <w:tc>
          <w:tcPr>
            <w:tcW w:type="dxa" w:w="1512"/>
          </w:tcPr>
          <w:p>
            <w:pPr>
              <w:jc w:val="left"/>
            </w:pPr>
            <w:r/>
            <w:r>
              <w:rPr>
                <w:rFonts w:ascii="Times New Roman" w:hAnsi="Times New Roman"/>
                <w:b w:val="0"/>
                <w:sz w:val="20"/>
              </w:rPr>
              <w:t>State-incompatible re-elevation proposal. Counted in the feasibility channel.</w:t>
            </w:r>
          </w:p>
        </w:tc>
      </w:tr>
      <w:tr>
        <w:tc>
          <w:tcPr>
            <w:tcW w:type="dxa" w:w="1512"/>
          </w:tcPr>
          <w:p>
            <w:pPr>
              <w:jc w:val="left"/>
            </w:pPr>
            <w:r/>
            <w:r>
              <w:rPr>
                <w:rFonts w:ascii="Times New Roman" w:hAnsi="Times New Roman"/>
                <w:b w:val="0"/>
                <w:sz w:val="20"/>
              </w:rPr>
              <w:t>R1</w:t>
            </w:r>
          </w:p>
        </w:tc>
        <w:tc>
          <w:tcPr>
            <w:tcW w:type="dxa" w:w="1512"/>
          </w:tcPr>
          <w:p>
            <w:pPr>
              <w:jc w:val="left"/>
            </w:pPr>
            <w:r/>
            <w:r>
              <w:rPr>
                <w:rFonts w:ascii="Times New Roman" w:hAnsi="Times New Roman"/>
                <w:b w:val="0"/>
                <w:sz w:val="20"/>
              </w:rPr>
              <w:t>Rationality deviation (R_R)</w:t>
            </w:r>
          </w:p>
        </w:tc>
        <w:tc>
          <w:tcPr>
            <w:tcW w:type="dxa" w:w="1512"/>
          </w:tcPr>
          <w:p>
            <w:pPr>
              <w:jc w:val="left"/>
            </w:pPr>
            <w:r/>
            <w:r>
              <w:rPr>
                <w:rFonts w:ascii="Times New Roman" w:hAnsi="Times New Roman"/>
                <w:b w:val="0"/>
                <w:sz w:val="20"/>
              </w:rPr>
              <w:t>examples/single_agent/results/JOH_FINAL/gemma3_12b/Group_B/Run_2/raw/household_traces.jsonl (line 113)</w:t>
            </w:r>
          </w:p>
        </w:tc>
        <w:tc>
          <w:tcPr>
            <w:tcW w:type="dxa" w:w="1512"/>
          </w:tcPr>
          <w:p>
            <w:pPr>
              <w:jc w:val="left"/>
            </w:pPr>
            <w:r/>
            <w:r>
              <w:rPr>
                <w:rFonts w:ascii="Times New Roman" w:hAnsi="Times New Roman"/>
                <w:b w:val="0"/>
                <w:sz w:val="20"/>
              </w:rPr>
              <w:t>Agent_13, Year 2</w:t>
            </w:r>
          </w:p>
        </w:tc>
        <w:tc>
          <w:tcPr>
            <w:tcW w:type="dxa" w:w="1512"/>
          </w:tcPr>
          <w:p>
            <w:pPr>
              <w:jc w:val="left"/>
            </w:pPr>
            <w:r/>
            <w:r>
              <w:rPr>
                <w:rFonts w:ascii="Times New Roman" w:hAnsi="Times New Roman"/>
                <w:b w:val="0"/>
                <w:sz w:val="20"/>
              </w:rPr>
              <w:t>skill_name=elevate_house, outcome=REJECTED, retry_count=3; issue rule_id=elevation_threat_low</w:t>
            </w:r>
          </w:p>
        </w:tc>
        <w:tc>
          <w:tcPr>
            <w:tcW w:type="dxa" w:w="1512"/>
          </w:tcPr>
          <w:p>
            <w:pPr>
              <w:jc w:val="left"/>
            </w:pPr>
            <w:r/>
            <w:r>
              <w:rPr>
                <w:rFonts w:ascii="Times New Roman" w:hAnsi="Times New Roman"/>
                <w:b w:val="0"/>
                <w:sz w:val="20"/>
              </w:rPr>
              <w:t>Low-threat costly structural action; coherence violation under thinking rules.</w:t>
            </w:r>
          </w:p>
        </w:tc>
      </w:tr>
      <w:tr>
        <w:tc>
          <w:tcPr>
            <w:tcW w:type="dxa" w:w="1512"/>
          </w:tcPr>
          <w:p>
            <w:pPr>
              <w:jc w:val="left"/>
            </w:pPr>
            <w:r/>
            <w:r>
              <w:rPr>
                <w:rFonts w:ascii="Times New Roman" w:hAnsi="Times New Roman"/>
                <w:b w:val="0"/>
                <w:sz w:val="20"/>
              </w:rPr>
              <w:t>R2</w:t>
            </w:r>
          </w:p>
        </w:tc>
        <w:tc>
          <w:tcPr>
            <w:tcW w:type="dxa" w:w="1512"/>
          </w:tcPr>
          <w:p>
            <w:pPr>
              <w:jc w:val="left"/>
            </w:pPr>
            <w:r/>
            <w:r>
              <w:rPr>
                <w:rFonts w:ascii="Times New Roman" w:hAnsi="Times New Roman"/>
                <w:b w:val="0"/>
                <w:sz w:val="20"/>
              </w:rPr>
              <w:t>Rationality deviation (R_R)</w:t>
            </w:r>
          </w:p>
        </w:tc>
        <w:tc>
          <w:tcPr>
            <w:tcW w:type="dxa" w:w="1512"/>
          </w:tcPr>
          <w:p>
            <w:pPr>
              <w:jc w:val="left"/>
            </w:pPr>
            <w:r/>
            <w:r>
              <w:rPr>
                <w:rFonts w:ascii="Times New Roman" w:hAnsi="Times New Roman"/>
                <w:b w:val="0"/>
                <w:sz w:val="20"/>
              </w:rPr>
              <w:t>examples/single_agent/results/JOH_FINAL/gemma3_4b/Group_B/Run_1/raw/household_traces.jsonl (line 231)</w:t>
            </w:r>
          </w:p>
        </w:tc>
        <w:tc>
          <w:tcPr>
            <w:tcW w:type="dxa" w:w="1512"/>
          </w:tcPr>
          <w:p>
            <w:pPr>
              <w:jc w:val="left"/>
            </w:pPr>
            <w:r/>
            <w:r>
              <w:rPr>
                <w:rFonts w:ascii="Times New Roman" w:hAnsi="Times New Roman"/>
                <w:b w:val="0"/>
                <w:sz w:val="20"/>
              </w:rPr>
              <w:t>Agent_31, Year 3</w:t>
            </w:r>
          </w:p>
        </w:tc>
        <w:tc>
          <w:tcPr>
            <w:tcW w:type="dxa" w:w="1512"/>
          </w:tcPr>
          <w:p>
            <w:pPr>
              <w:jc w:val="left"/>
            </w:pPr>
            <w:r/>
            <w:r>
              <w:rPr>
                <w:rFonts w:ascii="Times New Roman" w:hAnsi="Times New Roman"/>
                <w:b w:val="0"/>
                <w:sz w:val="20"/>
              </w:rPr>
              <w:t>skill_name=do_nothing, outcome=REJECTED, retry_count=3; issue rule_id=extreme_threat_block</w:t>
            </w:r>
          </w:p>
        </w:tc>
        <w:tc>
          <w:tcPr>
            <w:tcW w:type="dxa" w:w="1512"/>
          </w:tcPr>
          <w:p>
            <w:pPr>
              <w:jc w:val="left"/>
            </w:pPr>
            <w:r/>
            <w:r>
              <w:rPr>
                <w:rFonts w:ascii="Times New Roman" w:hAnsi="Times New Roman"/>
                <w:b w:val="0"/>
                <w:sz w:val="20"/>
              </w:rPr>
              <w:t>High-threat inaction after bounded retries; retained residual non-ideal behavior.</w:t>
            </w:r>
          </w:p>
        </w:tc>
      </w:tr>
    </w:tbl>
    <w:p/>
    <w:p>
      <w:pPr>
        <w:pStyle w:val="Heading4"/>
      </w:pPr>
      <w:r>
        <w:rPr>
          <w:rFonts w:ascii="Times New Roman" w:hAnsi="Times New Roman"/>
          <w:color w:val="000000"/>
        </w:rPr>
        <w:t>S7.3 Additional note on non-physical output failures</w:t>
      </w:r>
    </w:p>
    <w:p>
      <w:pPr>
        <w:pStyle w:val="ListBullet"/>
      </w:pPr>
      <w:r>
        <w:rPr>
          <w:rFonts w:ascii="Times New Roman" w:hAnsi="Times New Roman"/>
          <w:sz w:val="24"/>
        </w:rPr>
        <w:t>Some rows also show output-schema failures (for example, Response missing required fields: reasoning).</w:t>
      </w:r>
    </w:p>
    <w:p>
      <w:pPr>
        <w:pStyle w:val="ListBullet"/>
      </w:pPr>
      <w:r>
        <w:rPr>
          <w:rFonts w:ascii="Times New Roman" w:hAnsi="Times New Roman"/>
          <w:sz w:val="24"/>
        </w:rPr>
        <w:t>These are governance/audit diagnostics but are not counted as feasibility hallucination by the strict manuscript definition.</w:t>
      </w:r>
    </w:p>
    <w:p>
      <w:pPr>
        <w:pStyle w:val="ListBullet"/>
      </w:pPr>
      <w:r>
        <w:rPr>
          <w:rFonts w:ascii="Times New Roman" w:hAnsi="Times New Roman"/>
          <w:sz w:val="24"/>
        </w:rPr>
        <w:t>The strict split used in this paper is:</w:t>
      </w:r>
    </w:p>
    <w:p>
      <w:pPr>
        <w:pStyle w:val="ListBullet"/>
      </w:pPr>
      <w:r>
        <w:rPr>
          <w:rFonts w:ascii="Times New Roman" w:hAnsi="Times New Roman"/>
          <w:sz w:val="24"/>
        </w:rPr>
        <w:t>R_H: identity/precondition contradiction.</w:t>
      </w:r>
    </w:p>
    <w:p>
      <w:pPr>
        <w:pStyle w:val="ListBullet"/>
      </w:pPr>
      <w:r>
        <w:rPr>
          <w:rFonts w:ascii="Times New Roman" w:hAnsi="Times New Roman"/>
          <w:sz w:val="24"/>
        </w:rPr>
        <w:t>R_R: thinking-rule contradiction.</w:t>
      </w:r>
    </w:p>
    <w:p>
      <w:pPr>
        <w:pStyle w:val="Heading4"/>
      </w:pPr>
      <w:r>
        <w:rPr>
          <w:rFonts w:ascii="Times New Roman" w:hAnsi="Times New Roman"/>
          <w:color w:val="000000"/>
        </w:rPr>
        <w:t>S7.4 Relation to manuscript claims</w:t>
      </w:r>
    </w:p>
    <w:p>
      <w:pPr>
        <w:pStyle w:val="ListBullet"/>
      </w:pPr>
      <w:r>
        <w:rPr>
          <w:rFonts w:ascii="Times New Roman" w:hAnsi="Times New Roman"/>
          <w:sz w:val="24"/>
        </w:rPr>
        <w:t>These examples support the manuscript claim that governance reduces state-incompatible and incoherent outputs but does not enforce perfect rationality.</w:t>
      </w:r>
    </w:p>
    <w:p>
      <w:pPr>
        <w:pStyle w:val="ListBullet"/>
      </w:pPr>
      <w:r>
        <w:rPr>
          <w:rFonts w:ascii="Times New Roman" w:hAnsi="Times New Roman"/>
          <w:sz w:val="24"/>
        </w:rPr>
        <w:t>Residual R_R is expected by design because retries are capped; after cap, some boundedly irrational actions remain observable.</w:t>
      </w:r>
    </w:p>
    <w:p>
      <w:pPr>
        <w:pStyle w:val="ListBullet"/>
      </w:pPr>
      <w:r>
        <w:rPr>
          <w:rFonts w:ascii="Times New Roman" w:hAnsi="Times New Roman"/>
          <w:sz w:val="24"/>
        </w:rPr>
        <w:t>In this flood dataset, R_H events are sparse in governed groups, which is consistent with strong containment by identity/precondition checks.</w:t>
      </w:r>
    </w:p>
    <w:p>
      <w:pPr>
        <w:pStyle w:val="Heading4"/>
      </w:pPr>
      <w:r>
        <w:rPr>
          <w:rFonts w:ascii="Times New Roman" w:hAnsi="Times New Roman"/>
          <w:color w:val="000000"/>
        </w:rPr>
        <w:t>S7.5 Reproducibility</w:t>
      </w:r>
    </w:p>
    <w:p>
      <w:pPr>
        <w:pStyle w:val="ListBullet"/>
      </w:pPr>
      <w:r>
        <w:rPr>
          <w:rFonts w:ascii="Times New Roman" w:hAnsi="Times New Roman"/>
          <w:sz w:val="24"/>
        </w:rPr>
        <w:t>Case extraction snapshot: docs/wrr_s7_examples_v9.json.</w:t>
      </w:r>
    </w:p>
    <w:p>
      <w:pPr>
        <w:pStyle w:val="ListBullet"/>
      </w:pPr>
      <w:r>
        <w:rPr>
          <w:rFonts w:ascii="Times New Roman" w:hAnsi="Times New Roman"/>
          <w:sz w:val="24"/>
        </w:rPr>
        <w:t>buy_insurance is renewable in this setup (examples/single_agent/skill_registry.yaml), so repeated insurance purchase is not classified as physical impossibility.</w:t>
      </w:r>
    </w:p>
    <w:p>
      <w:pPr>
        <w:pStyle w:val="ListBullet"/>
      </w:pPr>
      <w:r>
        <w:rPr>
          <w:rFonts w:ascii="Times New Roman" w:hAnsi="Times New Roman"/>
          <w:sz w:val="24"/>
        </w:rPr>
        <w:t>Group A simulation_log.csv uses cumulative decision labels; this SI section therefore uses governed trace rows where proposal, rule result, and state are directly aligned.</w:t>
      </w:r>
    </w:p>
    <w:p>
      <w:r>
        <w:br w:type="page"/>
      </w:r>
    </w:p>
    <w:p>
      <w:pPr>
        <w:pStyle w:val="Heading2"/>
      </w:pPr>
      <w:r>
        <w:rPr>
          <w:rFonts w:ascii="Times New Roman" w:hAnsi="Times New Roman"/>
          <w:color w:val="000000"/>
        </w:rPr>
        <w:t>S5. Flood Adaptation Matrices</w:t>
      </w:r>
    </w:p>
    <w:p>
      <w:pPr>
        <w:jc w:val="center"/>
      </w:pPr>
      <w:r>
        <w:rPr>
          <w:rFonts w:ascii="Times New Roman" w:hAnsi="Times New Roman"/>
          <w:i/>
          <w:sz w:val="22"/>
        </w:rPr>
        <w:t>[Figure S1: See separate image file]</w:t>
      </w:r>
    </w:p>
    <w:p>
      <w:pPr>
        <w:jc w:val="center"/>
      </w:pPr>
      <w:r>
        <w:rPr>
          <w:rFonts w:ascii="Times New Roman" w:hAnsi="Times New Roman"/>
          <w:b/>
          <w:sz w:val="20"/>
        </w:rPr>
        <w:t>Figure S1. 6x3 Adaptation matrix across all models and governance groups</w:t>
      </w:r>
    </w:p>
    <w:p/>
    <w:p>
      <w:pPr>
        <w:jc w:val="center"/>
      </w:pPr>
      <w:r>
        <w:rPr>
          <w:rFonts w:ascii="Times New Roman" w:hAnsi="Times New Roman"/>
          <w:i/>
          <w:sz w:val="22"/>
        </w:rPr>
        <w:t>[Figure S2: See separate image file]</w:t>
      </w:r>
    </w:p>
    <w:p>
      <w:pPr>
        <w:jc w:val="center"/>
      </w:pPr>
      <w:r>
        <w:rPr>
          <w:rFonts w:ascii="Times New Roman" w:hAnsi="Times New Roman"/>
          <w:b/>
          <w:sz w:val="20"/>
        </w:rPr>
        <w:t>Figure S2. Cumulative relocation curves (A=0%, B=32%, C=37%)</w:t>
      </w:r>
    </w:p>
    <w:p/>
    <w:p>
      <w:pPr>
        <w:jc w:val="center"/>
      </w:pPr>
      <w:r>
        <w:rPr>
          <w:rFonts w:ascii="Times New Roman" w:hAnsi="Times New Roman"/>
          <w:i/>
          <w:sz w:val="22"/>
        </w:rPr>
        <w:t>[Figure S3: See separate image file]</w:t>
      </w:r>
    </w:p>
    <w:p>
      <w:pPr>
        <w:jc w:val="center"/>
      </w:pPr>
      <w:r>
        <w:rPr>
          <w:rFonts w:ascii="Times New Roman" w:hAnsi="Times New Roman"/>
          <w:b/>
          <w:sz w:val="20"/>
        </w:rPr>
        <w:t>Figure S3. Economic hallucination fix comparison (v4 vs v6)</w:t>
      </w:r>
    </w:p>
    <w:p/>
    <w:p>
      <w:pPr>
        <w:jc w:val="center"/>
      </w:pPr>
      <w:r>
        <w:rPr>
          <w:rFonts w:ascii="Times New Roman" w:hAnsi="Times New Roman"/>
          <w:i/>
          <w:sz w:val="22"/>
        </w:rPr>
        <w:t>[Figure S4: See separate image file]</w:t>
      </w:r>
    </w:p>
    <w:p>
      <w:pPr>
        <w:jc w:val="center"/>
      </w:pPr>
      <w:r>
        <w:rPr>
          <w:rFonts w:ascii="Times New Roman" w:hAnsi="Times New Roman"/>
          <w:b/>
          <w:sz w:val="20"/>
        </w:rPr>
        <w:t>Figure S4. Gemma3 3x3 adaptation matrix</w:t>
      </w:r>
    </w:p>
    <w:p/>
    <w:p>
      <w:pPr>
        <w:jc w:val="center"/>
      </w:pPr>
      <w:r>
        <w:rPr>
          <w:rFonts w:ascii="Times New Roman" w:hAnsi="Times New Roman"/>
          <w:i/>
          <w:sz w:val="22"/>
        </w:rPr>
        <w:t>[Figure S5: See separate image file]</w:t>
      </w:r>
    </w:p>
    <w:p>
      <w:pPr>
        <w:jc w:val="center"/>
      </w:pPr>
      <w:r>
        <w:rPr>
          <w:rFonts w:ascii="Times New Roman" w:hAnsi="Times New Roman"/>
          <w:b/>
          <w:sz w:val="20"/>
        </w:rPr>
        <w:t>Figure S5. Ministral3 3x3 adaptation matrix</w:t>
      </w:r>
    </w:p>
    <w:p/>
    <w:p>
      <w:r>
        <w:br w:type="page"/>
      </w:r>
    </w:p>
    <w:p>
      <w:pPr>
        <w:pStyle w:val="Heading1"/>
      </w:pPr>
      <w:r>
        <w:rPr>
          <w:rFonts w:ascii="Times New Roman" w:hAnsi="Times New Roman"/>
          <w:color w:val="000000"/>
        </w:rPr>
        <w:t>Part C: Irrigation Case Study</w:t>
      </w:r>
    </w:p>
    <w:p>
      <w:pPr>
        <w:pStyle w:val="Heading1"/>
      </w:pPr>
      <w:r>
        <w:rPr>
          <w:rFonts w:ascii="Times New Roman" w:hAnsi="Times New Roman"/>
          <w:color w:val="000000"/>
        </w:rPr>
        <w:t>Section S6. Complete Governance Rule Specification (Irrigation ABM)</w:t>
      </w:r>
    </w:p>
    <w:p>
      <w:pPr>
        <w:pStyle w:val="Heading2"/>
      </w:pPr>
      <w:r>
        <w:rPr>
          <w:rFonts w:ascii="Times New Roman" w:hAnsi="Times New Roman"/>
          <w:color w:val="000000"/>
        </w:rPr>
        <w:t>Overview</w:t>
      </w:r>
    </w:p>
    <w:p>
      <w:pPr>
        <w:spacing w:after="120" w:line="480" w:lineRule="auto"/>
      </w:pPr>
      <w:r>
        <w:rPr>
          <w:rFonts w:ascii="Times New Roman" w:hAnsi="Times New Roman"/>
          <w:sz w:val="24"/>
        </w:rPr>
        <w:t>The irrigation ABM employs a comprehensive governance architecture consisting of 12 custom validators and 3 configuration-level thinking rules, totaling 15 governance rules. Custom validators are implemented in irrigation_validators.py and operate on the per-agent validation context constructed at each decision point. Thinking rules are defined in agent_types.yaml and operate on LLM-generated cognitive construct labels (Water Scarcity Assessment [WSA_LABEL] and Adaptive Capacity Assessment [ACA_LABEL]). Rules are categorized by governance domain: Physical (P), Institutional (I), Economic (E), Temporal (T), or Behavioral (B). ERROR-level rules trigger the retry-with-feedback mechanism described in Section 2.3.2; WARNING-level rules are logged for audit purposes but do not block skill execution.</w:t>
      </w:r>
    </w:p>
    <w:p>
      <w:pPr>
        <w:spacing w:after="120" w:line="480" w:lineRule="auto"/>
      </w:pPr>
      <w:r>
        <w:rPr>
          <w:rFonts w:ascii="Times New Roman" w:hAnsi="Times New Roman"/>
          <w:sz w:val="24"/>
        </w:rPr>
        <w:t>This multi-layered governance design reflects the institutional hierarchy of the Colorado River Compact system, where physical constraints (allocation caps, non-negativity) establish hard boundaries, institutional rules (shortage tiers, drought protocols) implement policy mandates, and economic rules (demand corridor bounds) stabilize long-term system behavior. The integration of behavioral rules (zero-escape prevention) and temporal rules (consecutive increase caps) represents novel extensions beyond traditional water allocation models, enabling the framework to prevent pathological agent behaviors while preserving adaptive autonomy.</w:t>
      </w:r>
    </w:p>
    <w:p>
      <w:pPr>
        <w:pStyle w:val="Heading2"/>
      </w:pPr>
      <w:r>
        <w:rPr>
          <w:rFonts w:ascii="Times New Roman" w:hAnsi="Times New Roman"/>
          <w:color w:val="000000"/>
        </w:rPr>
        <w:t>Table S6.1: Custom Validator Specifications (12 Rules)</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left"/>
            </w:pPr>
            <w:r/>
            <w:r>
              <w:rPr>
                <w:rFonts w:ascii="Times New Roman" w:hAnsi="Times New Roman"/>
                <w:b/>
                <w:sz w:val="20"/>
              </w:rPr>
              <w:t>#</w:t>
            </w:r>
          </w:p>
        </w:tc>
        <w:tc>
          <w:tcPr>
            <w:tcW w:type="dxa" w:w="1296"/>
          </w:tcPr>
          <w:p>
            <w:pPr>
              <w:jc w:val="left"/>
            </w:pPr>
            <w:r/>
            <w:r>
              <w:rPr>
                <w:rFonts w:ascii="Times New Roman" w:hAnsi="Times New Roman"/>
                <w:b/>
                <w:sz w:val="20"/>
              </w:rPr>
              <w:t>Rule ID</w:t>
            </w:r>
          </w:p>
        </w:tc>
        <w:tc>
          <w:tcPr>
            <w:tcW w:type="dxa" w:w="1296"/>
          </w:tcPr>
          <w:p>
            <w:pPr>
              <w:jc w:val="left"/>
            </w:pPr>
            <w:r/>
            <w:r>
              <w:rPr>
                <w:rFonts w:ascii="Times New Roman" w:hAnsi="Times New Roman"/>
                <w:b/>
                <w:sz w:val="20"/>
              </w:rPr>
              <w:t>Category</w:t>
            </w:r>
          </w:p>
        </w:tc>
        <w:tc>
          <w:tcPr>
            <w:tcW w:type="dxa" w:w="1296"/>
          </w:tcPr>
          <w:p>
            <w:pPr>
              <w:jc w:val="left"/>
            </w:pPr>
            <w:r/>
            <w:r>
              <w:rPr>
                <w:rFonts w:ascii="Times New Roman" w:hAnsi="Times New Roman"/>
                <w:b/>
                <w:sz w:val="20"/>
              </w:rPr>
              <w:t>Trigger Condition</w:t>
            </w:r>
          </w:p>
        </w:tc>
        <w:tc>
          <w:tcPr>
            <w:tcW w:type="dxa" w:w="1296"/>
          </w:tcPr>
          <w:p>
            <w:pPr>
              <w:jc w:val="left"/>
            </w:pPr>
            <w:r/>
            <w:r>
              <w:rPr>
                <w:rFonts w:ascii="Times New Roman" w:hAnsi="Times New Roman"/>
                <w:b/>
                <w:sz w:val="20"/>
              </w:rPr>
              <w:t>Blocked Skills</w:t>
            </w:r>
          </w:p>
        </w:tc>
        <w:tc>
          <w:tcPr>
            <w:tcW w:type="dxa" w:w="1296"/>
          </w:tcPr>
          <w:p>
            <w:pPr>
              <w:jc w:val="left"/>
            </w:pPr>
            <w:r/>
            <w:r>
              <w:rPr>
                <w:rFonts w:ascii="Times New Roman" w:hAnsi="Times New Roman"/>
                <w:b/>
                <w:sz w:val="20"/>
              </w:rPr>
              <w:t>Level</w:t>
            </w:r>
          </w:p>
        </w:tc>
        <w:tc>
          <w:tcPr>
            <w:tcW w:type="dxa" w:w="1296"/>
          </w:tcPr>
          <w:p>
            <w:pPr>
              <w:jc w:val="left"/>
            </w:pPr>
            <w:r/>
            <w:r>
              <w:rPr>
                <w:rFonts w:ascii="Times New Roman" w:hAnsi="Times New Roman"/>
                <w:b/>
                <w:sz w:val="20"/>
              </w:rPr>
              <w:t>Suggestion Tier</w:t>
            </w:r>
          </w:p>
        </w:tc>
      </w:tr>
      <w:tr>
        <w:tc>
          <w:tcPr>
            <w:tcW w:type="dxa" w:w="1296"/>
          </w:tcPr>
          <w:p>
            <w:pPr>
              <w:jc w:val="left"/>
            </w:pPr>
            <w:r/>
            <w:r>
              <w:rPr>
                <w:rFonts w:ascii="Times New Roman" w:hAnsi="Times New Roman"/>
                <w:b w:val="0"/>
                <w:sz w:val="20"/>
              </w:rPr>
              <w:t>1</w:t>
            </w:r>
          </w:p>
        </w:tc>
        <w:tc>
          <w:tcPr>
            <w:tcW w:type="dxa" w:w="1296"/>
          </w:tcPr>
          <w:p>
            <w:pPr>
              <w:jc w:val="left"/>
            </w:pPr>
            <w:r/>
            <w:r>
              <w:rPr>
                <w:rFonts w:ascii="Times New Roman" w:hAnsi="Times New Roman"/>
                <w:b w:val="0"/>
                <w:sz w:val="20"/>
              </w:rPr>
              <w:t>water_right_cap</w:t>
            </w:r>
          </w:p>
        </w:tc>
        <w:tc>
          <w:tcPr>
            <w:tcW w:type="dxa" w:w="1296"/>
          </w:tcPr>
          <w:p>
            <w:pPr>
              <w:jc w:val="left"/>
            </w:pPr>
            <w:r/>
            <w:r>
              <w:rPr>
                <w:rFonts w:ascii="Times New Roman" w:hAnsi="Times New Roman"/>
                <w:b w:val="0"/>
                <w:sz w:val="20"/>
              </w:rPr>
              <w:t>Physical</w:t>
            </w:r>
          </w:p>
        </w:tc>
        <w:tc>
          <w:tcPr>
            <w:tcW w:type="dxa" w:w="1296"/>
          </w:tcPr>
          <w:p>
            <w:pPr>
              <w:jc w:val="left"/>
            </w:pPr>
            <w:r/>
            <w:r>
              <w:rPr>
                <w:rFonts w:ascii="Times New Roman" w:hAnsi="Times New Roman"/>
                <w:b w:val="0"/>
                <w:sz w:val="20"/>
              </w:rPr>
              <w:t>at_allocation_cap = True</w:t>
            </w:r>
          </w:p>
        </w:tc>
        <w:tc>
          <w:tcPr>
            <w:tcW w:type="dxa" w:w="1296"/>
          </w:tcPr>
          <w:p>
            <w:pPr>
              <w:jc w:val="left"/>
            </w:pPr>
            <w:r/>
            <w:r>
              <w:rPr>
                <w:rFonts w:ascii="Times New Roman" w:hAnsi="Times New Roman"/>
                <w:b w:val="0"/>
                <w:sz w:val="20"/>
              </w:rPr>
              <w:t>increase_large, increase_small</w:t>
            </w:r>
          </w:p>
        </w:tc>
        <w:tc>
          <w:tcPr>
            <w:tcW w:type="dxa" w:w="1296"/>
          </w:tcPr>
          <w:p>
            <w:pPr>
              <w:jc w:val="left"/>
            </w:pPr>
            <w:r/>
            <w:r>
              <w:rPr>
                <w:rFonts w:ascii="Times New Roman" w:hAnsi="Times New Roman"/>
                <w:b w:val="0"/>
                <w:sz w:val="20"/>
              </w:rPr>
              <w:t>ERROR</w:t>
            </w:r>
          </w:p>
        </w:tc>
        <w:tc>
          <w:tcPr>
            <w:tcW w:type="dxa" w:w="1296"/>
          </w:tcPr>
          <w:p>
            <w:pPr>
              <w:jc w:val="left"/>
            </w:pPr>
            <w:r/>
            <w:r>
              <w:rPr>
                <w:rFonts w:ascii="Times New Roman" w:hAnsi="Times New Roman"/>
                <w:b w:val="0"/>
                <w:sz w:val="20"/>
              </w:rPr>
              <w:t>A (none)</w:t>
            </w:r>
          </w:p>
        </w:tc>
      </w:tr>
      <w:tr>
        <w:tc>
          <w:tcPr>
            <w:tcW w:type="dxa" w:w="1296"/>
          </w:tcPr>
          <w:p>
            <w:pPr>
              <w:jc w:val="left"/>
            </w:pPr>
            <w:r/>
            <w:r>
              <w:rPr>
                <w:rFonts w:ascii="Times New Roman" w:hAnsi="Times New Roman"/>
                <w:b w:val="0"/>
                <w:sz w:val="20"/>
              </w:rPr>
              <w:t>2a</w:t>
            </w:r>
          </w:p>
        </w:tc>
        <w:tc>
          <w:tcPr>
            <w:tcW w:type="dxa" w:w="1296"/>
          </w:tcPr>
          <w:p>
            <w:pPr>
              <w:jc w:val="left"/>
            </w:pPr>
            <w:r/>
            <w:r>
              <w:rPr>
                <w:rFonts w:ascii="Times New Roman" w:hAnsi="Times New Roman"/>
                <w:b w:val="0"/>
                <w:sz w:val="20"/>
              </w:rPr>
              <w:t>non_negative_diversion</w:t>
            </w:r>
          </w:p>
        </w:tc>
        <w:tc>
          <w:tcPr>
            <w:tcW w:type="dxa" w:w="1296"/>
          </w:tcPr>
          <w:p>
            <w:pPr>
              <w:jc w:val="left"/>
            </w:pPr>
            <w:r/>
            <w:r>
              <w:rPr>
                <w:rFonts w:ascii="Times New Roman" w:hAnsi="Times New Roman"/>
                <w:b w:val="0"/>
                <w:sz w:val="20"/>
              </w:rPr>
              <w:t>Physical</w:t>
            </w:r>
          </w:p>
        </w:tc>
        <w:tc>
          <w:tcPr>
            <w:tcW w:type="dxa" w:w="1296"/>
          </w:tcPr>
          <w:p>
            <w:pPr>
              <w:jc w:val="left"/>
            </w:pPr>
            <w:r/>
            <w:r>
              <w:rPr>
                <w:rFonts w:ascii="Times New Roman" w:hAnsi="Times New Roman"/>
                <w:b w:val="0"/>
                <w:sz w:val="20"/>
              </w:rPr>
              <w:t>current_diversion = 0 AND current_request = 0</w:t>
            </w:r>
          </w:p>
        </w:tc>
        <w:tc>
          <w:tcPr>
            <w:tcW w:type="dxa" w:w="1296"/>
          </w:tcPr>
          <w:p>
            <w:pPr>
              <w:jc w:val="left"/>
            </w:pPr>
            <w:r/>
            <w:r>
              <w:rPr>
                <w:rFonts w:ascii="Times New Roman" w:hAnsi="Times New Roman"/>
                <w:b w:val="0"/>
                <w:sz w:val="20"/>
              </w:rPr>
              <w:t>decrease_large, decrease_small</w:t>
            </w:r>
          </w:p>
        </w:tc>
        <w:tc>
          <w:tcPr>
            <w:tcW w:type="dxa" w:w="1296"/>
          </w:tcPr>
          <w:p>
            <w:pPr>
              <w:jc w:val="left"/>
            </w:pPr>
            <w:r/>
            <w:r>
              <w:rPr>
                <w:rFonts w:ascii="Times New Roman" w:hAnsi="Times New Roman"/>
                <w:b w:val="0"/>
                <w:sz w:val="20"/>
              </w:rPr>
              <w:t>ERROR</w:t>
            </w:r>
          </w:p>
        </w:tc>
        <w:tc>
          <w:tcPr>
            <w:tcW w:type="dxa" w:w="1296"/>
          </w:tcPr>
          <w:p>
            <w:pPr>
              <w:jc w:val="left"/>
            </w:pPr>
            <w:r/>
            <w:r>
              <w:rPr>
                <w:rFonts w:ascii="Times New Roman" w:hAnsi="Times New Roman"/>
                <w:b w:val="0"/>
                <w:sz w:val="20"/>
              </w:rPr>
              <w:t>A (none)</w:t>
            </w:r>
          </w:p>
        </w:tc>
      </w:tr>
      <w:tr>
        <w:tc>
          <w:tcPr>
            <w:tcW w:type="dxa" w:w="1296"/>
          </w:tcPr>
          <w:p>
            <w:pPr>
              <w:jc w:val="left"/>
            </w:pPr>
            <w:r/>
            <w:r>
              <w:rPr>
                <w:rFonts w:ascii="Times New Roman" w:hAnsi="Times New Roman"/>
                <w:b w:val="0"/>
                <w:sz w:val="20"/>
              </w:rPr>
              <w:t>2b</w:t>
            </w:r>
          </w:p>
        </w:tc>
        <w:tc>
          <w:tcPr>
            <w:tcW w:type="dxa" w:w="1296"/>
          </w:tcPr>
          <w:p>
            <w:pPr>
              <w:jc w:val="left"/>
            </w:pPr>
            <w:r/>
            <w:r>
              <w:rPr>
                <w:rFonts w:ascii="Times New Roman" w:hAnsi="Times New Roman"/>
                <w:b w:val="0"/>
                <w:sz w:val="20"/>
              </w:rPr>
              <w:t>non_negative_diversion</w:t>
            </w:r>
          </w:p>
        </w:tc>
        <w:tc>
          <w:tcPr>
            <w:tcW w:type="dxa" w:w="1296"/>
          </w:tcPr>
          <w:p>
            <w:pPr>
              <w:jc w:val="left"/>
            </w:pPr>
            <w:r/>
            <w:r>
              <w:rPr>
                <w:rFonts w:ascii="Times New Roman" w:hAnsi="Times New Roman"/>
                <w:b w:val="0"/>
                <w:sz w:val="20"/>
              </w:rPr>
              <w:t>Physical</w:t>
            </w:r>
          </w:p>
        </w:tc>
        <w:tc>
          <w:tcPr>
            <w:tcW w:type="dxa" w:w="1296"/>
          </w:tcPr>
          <w:p>
            <w:pPr>
              <w:jc w:val="left"/>
            </w:pPr>
            <w:r/>
            <w:r>
              <w:rPr>
                <w:rFonts w:ascii="Times New Roman" w:hAnsi="Times New Roman"/>
                <w:b w:val="0"/>
                <w:sz w:val="20"/>
              </w:rPr>
              <w:t>current_diversion = 0 AND current_request &gt; 0 (curtailment-induced)</w:t>
            </w:r>
          </w:p>
        </w:tc>
        <w:tc>
          <w:tcPr>
            <w:tcW w:type="dxa" w:w="1296"/>
          </w:tcPr>
          <w:p>
            <w:pPr>
              <w:jc w:val="left"/>
            </w:pPr>
            <w:r/>
            <w:r>
              <w:rPr>
                <w:rFonts w:ascii="Times New Roman" w:hAnsi="Times New Roman"/>
                <w:b w:val="0"/>
                <w:sz w:val="20"/>
              </w:rPr>
              <w:t>decrease_large, decrease_small</w:t>
            </w:r>
          </w:p>
        </w:tc>
        <w:tc>
          <w:tcPr>
            <w:tcW w:type="dxa" w:w="1296"/>
          </w:tcPr>
          <w:p>
            <w:pPr>
              <w:jc w:val="left"/>
            </w:pPr>
            <w:r/>
            <w:r>
              <w:rPr>
                <w:rFonts w:ascii="Times New Roman" w:hAnsi="Times New Roman"/>
                <w:b w:val="0"/>
                <w:sz w:val="20"/>
              </w:rPr>
              <w:t>WARNING</w:t>
            </w:r>
          </w:p>
        </w:tc>
        <w:tc>
          <w:tcPr>
            <w:tcW w:type="dxa" w:w="1296"/>
          </w:tcPr>
          <w:p>
            <w:pPr>
              <w:jc w:val="left"/>
            </w:pPr>
            <w:r/>
            <w:r>
              <w:rPr>
                <w:rFonts w:ascii="Times New Roman" w:hAnsi="Times New Roman"/>
                <w:b w:val="0"/>
                <w:sz w:val="20"/>
              </w:rPr>
              <w:t>A (none)</w:t>
            </w:r>
          </w:p>
        </w:tc>
      </w:tr>
      <w:tr>
        <w:tc>
          <w:tcPr>
            <w:tcW w:type="dxa" w:w="1296"/>
          </w:tcPr>
          <w:p>
            <w:pPr>
              <w:jc w:val="left"/>
            </w:pPr>
            <w:r/>
            <w:r>
              <w:rPr>
                <w:rFonts w:ascii="Times New Roman" w:hAnsi="Times New Roman"/>
                <w:b w:val="0"/>
                <w:sz w:val="20"/>
              </w:rPr>
              <w:t>3a</w:t>
            </w:r>
          </w:p>
        </w:tc>
        <w:tc>
          <w:tcPr>
            <w:tcW w:type="dxa" w:w="1296"/>
          </w:tcPr>
          <w:p>
            <w:pPr>
              <w:jc w:val="left"/>
            </w:pPr>
            <w:r/>
            <w:r>
              <w:rPr>
                <w:rFonts w:ascii="Times New Roman" w:hAnsi="Times New Roman"/>
                <w:b w:val="0"/>
                <w:sz w:val="20"/>
              </w:rPr>
              <w:t>curtailment_awareness (Tier 0)</w:t>
            </w:r>
          </w:p>
        </w:tc>
        <w:tc>
          <w:tcPr>
            <w:tcW w:type="dxa" w:w="1296"/>
          </w:tcPr>
          <w:p>
            <w:pPr>
              <w:jc w:val="left"/>
            </w:pPr>
            <w:r/>
            <w:r>
              <w:rPr>
                <w:rFonts w:ascii="Times New Roman" w:hAnsi="Times New Roman"/>
                <w:b w:val="0"/>
                <w:sz w:val="20"/>
              </w:rPr>
              <w:t>Institutional</w:t>
            </w:r>
          </w:p>
        </w:tc>
        <w:tc>
          <w:tcPr>
            <w:tcW w:type="dxa" w:w="1296"/>
          </w:tcPr>
          <w:p>
            <w:pPr>
              <w:jc w:val="left"/>
            </w:pPr>
            <w:r/>
            <w:r>
              <w:rPr>
                <w:rFonts w:ascii="Times New Roman" w:hAnsi="Times New Roman"/>
                <w:b w:val="0"/>
                <w:sz w:val="20"/>
              </w:rPr>
              <w:t>curtailment_ratio &gt; 0, shortage_tier = 0</w:t>
            </w:r>
          </w:p>
        </w:tc>
        <w:tc>
          <w:tcPr>
            <w:tcW w:type="dxa" w:w="1296"/>
          </w:tcPr>
          <w:p>
            <w:pPr>
              <w:jc w:val="left"/>
            </w:pPr>
            <w:r/>
            <w:r>
              <w:rPr>
                <w:rFonts w:ascii="Times New Roman" w:hAnsi="Times New Roman"/>
                <w:b w:val="0"/>
                <w:sz w:val="20"/>
              </w:rPr>
              <w:t>increase_large, increase_small</w:t>
            </w:r>
          </w:p>
        </w:tc>
        <w:tc>
          <w:tcPr>
            <w:tcW w:type="dxa" w:w="1296"/>
          </w:tcPr>
          <w:p>
            <w:pPr>
              <w:jc w:val="left"/>
            </w:pPr>
            <w:r/>
            <w:r>
              <w:rPr>
                <w:rFonts w:ascii="Times New Roman" w:hAnsi="Times New Roman"/>
                <w:b w:val="0"/>
                <w:sz w:val="20"/>
              </w:rPr>
              <w:t>WARNING</w:t>
            </w:r>
          </w:p>
        </w:tc>
        <w:tc>
          <w:tcPr>
            <w:tcW w:type="dxa" w:w="1296"/>
          </w:tcPr>
          <w:p>
            <w:pPr>
              <w:jc w:val="left"/>
            </w:pPr>
            <w:r/>
            <w:r>
              <w:rPr>
                <w:rFonts w:ascii="Times New Roman" w:hAnsi="Times New Roman"/>
                <w:b w:val="0"/>
                <w:sz w:val="20"/>
              </w:rPr>
              <w:t>—</w:t>
            </w:r>
          </w:p>
        </w:tc>
      </w:tr>
      <w:tr>
        <w:tc>
          <w:tcPr>
            <w:tcW w:type="dxa" w:w="1296"/>
          </w:tcPr>
          <w:p>
            <w:pPr>
              <w:jc w:val="left"/>
            </w:pPr>
            <w:r/>
            <w:r>
              <w:rPr>
                <w:rFonts w:ascii="Times New Roman" w:hAnsi="Times New Roman"/>
                <w:b w:val="0"/>
                <w:sz w:val="20"/>
              </w:rPr>
              <w:t>3b</w:t>
            </w:r>
          </w:p>
        </w:tc>
        <w:tc>
          <w:tcPr>
            <w:tcW w:type="dxa" w:w="1296"/>
          </w:tcPr>
          <w:p>
            <w:pPr>
              <w:jc w:val="left"/>
            </w:pPr>
            <w:r/>
            <w:r>
              <w:rPr>
                <w:rFonts w:ascii="Times New Roman" w:hAnsi="Times New Roman"/>
                <w:b w:val="0"/>
                <w:sz w:val="20"/>
              </w:rPr>
              <w:t>curtailment_awareness (Tier 1, large)</w:t>
            </w:r>
          </w:p>
        </w:tc>
        <w:tc>
          <w:tcPr>
            <w:tcW w:type="dxa" w:w="1296"/>
          </w:tcPr>
          <w:p>
            <w:pPr>
              <w:jc w:val="left"/>
            </w:pPr>
            <w:r/>
            <w:r>
              <w:rPr>
                <w:rFonts w:ascii="Times New Roman" w:hAnsi="Times New Roman"/>
                <w:b w:val="0"/>
                <w:sz w:val="20"/>
              </w:rPr>
              <w:t>Institutional</w:t>
            </w:r>
          </w:p>
        </w:tc>
        <w:tc>
          <w:tcPr>
            <w:tcW w:type="dxa" w:w="1296"/>
          </w:tcPr>
          <w:p>
            <w:pPr>
              <w:jc w:val="left"/>
            </w:pPr>
            <w:r/>
            <w:r>
              <w:rPr>
                <w:rFonts w:ascii="Times New Roman" w:hAnsi="Times New Roman"/>
                <w:b w:val="0"/>
                <w:sz w:val="20"/>
              </w:rPr>
              <w:t>shortage_tier = 1</w:t>
            </w:r>
          </w:p>
        </w:tc>
        <w:tc>
          <w:tcPr>
            <w:tcW w:type="dxa" w:w="1296"/>
          </w:tcPr>
          <w:p>
            <w:pPr>
              <w:jc w:val="left"/>
            </w:pPr>
            <w:r/>
            <w:r>
              <w:rPr>
                <w:rFonts w:ascii="Times New Roman" w:hAnsi="Times New Roman"/>
                <w:b w:val="0"/>
                <w:sz w:val="20"/>
              </w:rPr>
              <w:t>increase_large</w:t>
            </w:r>
          </w:p>
        </w:tc>
        <w:tc>
          <w:tcPr>
            <w:tcW w:type="dxa" w:w="1296"/>
          </w:tcPr>
          <w:p>
            <w:pPr>
              <w:jc w:val="left"/>
            </w:pPr>
            <w:r/>
            <w:r>
              <w:rPr>
                <w:rFonts w:ascii="Times New Roman" w:hAnsi="Times New Roman"/>
                <w:b w:val="0"/>
                <w:sz w:val="20"/>
              </w:rPr>
              <w:t>ERROR</w:t>
            </w:r>
          </w:p>
        </w:tc>
        <w:tc>
          <w:tcPr>
            <w:tcW w:type="dxa" w:w="1296"/>
          </w:tcPr>
          <w:p>
            <w:pPr>
              <w:jc w:val="left"/>
            </w:pPr>
            <w:r/>
            <w:r>
              <w:rPr>
                <w:rFonts w:ascii="Times New Roman" w:hAnsi="Times New Roman"/>
                <w:b w:val="0"/>
                <w:sz w:val="20"/>
              </w:rPr>
              <w:t>B (neutral)</w:t>
            </w:r>
          </w:p>
        </w:tc>
      </w:tr>
      <w:tr>
        <w:tc>
          <w:tcPr>
            <w:tcW w:type="dxa" w:w="1296"/>
          </w:tcPr>
          <w:p>
            <w:pPr>
              <w:jc w:val="left"/>
            </w:pPr>
            <w:r/>
            <w:r>
              <w:rPr>
                <w:rFonts w:ascii="Times New Roman" w:hAnsi="Times New Roman"/>
                <w:b w:val="0"/>
                <w:sz w:val="20"/>
              </w:rPr>
              <w:t>3c</w:t>
            </w:r>
          </w:p>
        </w:tc>
        <w:tc>
          <w:tcPr>
            <w:tcW w:type="dxa" w:w="1296"/>
          </w:tcPr>
          <w:p>
            <w:pPr>
              <w:jc w:val="left"/>
            </w:pPr>
            <w:r/>
            <w:r>
              <w:rPr>
                <w:rFonts w:ascii="Times New Roman" w:hAnsi="Times New Roman"/>
                <w:b w:val="0"/>
                <w:sz w:val="20"/>
              </w:rPr>
              <w:t>curtailment_awareness (Tier 1, small)</w:t>
            </w:r>
          </w:p>
        </w:tc>
        <w:tc>
          <w:tcPr>
            <w:tcW w:type="dxa" w:w="1296"/>
          </w:tcPr>
          <w:p>
            <w:pPr>
              <w:jc w:val="left"/>
            </w:pPr>
            <w:r/>
            <w:r>
              <w:rPr>
                <w:rFonts w:ascii="Times New Roman" w:hAnsi="Times New Roman"/>
                <w:b w:val="0"/>
                <w:sz w:val="20"/>
              </w:rPr>
              <w:t>Institutional</w:t>
            </w:r>
          </w:p>
        </w:tc>
        <w:tc>
          <w:tcPr>
            <w:tcW w:type="dxa" w:w="1296"/>
          </w:tcPr>
          <w:p>
            <w:pPr>
              <w:jc w:val="left"/>
            </w:pPr>
            <w:r/>
            <w:r>
              <w:rPr>
                <w:rFonts w:ascii="Times New Roman" w:hAnsi="Times New Roman"/>
                <w:b w:val="0"/>
                <w:sz w:val="20"/>
              </w:rPr>
              <w:t>shortage_tier = 1</w:t>
            </w:r>
          </w:p>
        </w:tc>
        <w:tc>
          <w:tcPr>
            <w:tcW w:type="dxa" w:w="1296"/>
          </w:tcPr>
          <w:p>
            <w:pPr>
              <w:jc w:val="left"/>
            </w:pPr>
            <w:r/>
            <w:r>
              <w:rPr>
                <w:rFonts w:ascii="Times New Roman" w:hAnsi="Times New Roman"/>
                <w:b w:val="0"/>
                <w:sz w:val="20"/>
              </w:rPr>
              <w:t>increase_small</w:t>
            </w:r>
          </w:p>
        </w:tc>
        <w:tc>
          <w:tcPr>
            <w:tcW w:type="dxa" w:w="1296"/>
          </w:tcPr>
          <w:p>
            <w:pPr>
              <w:jc w:val="left"/>
            </w:pPr>
            <w:r/>
            <w:r>
              <w:rPr>
                <w:rFonts w:ascii="Times New Roman" w:hAnsi="Times New Roman"/>
                <w:b w:val="0"/>
                <w:sz w:val="20"/>
              </w:rPr>
              <w:t>WARNING</w:t>
            </w:r>
          </w:p>
        </w:tc>
        <w:tc>
          <w:tcPr>
            <w:tcW w:type="dxa" w:w="1296"/>
          </w:tcPr>
          <w:p>
            <w:pPr>
              <w:jc w:val="left"/>
            </w:pPr>
            <w:r/>
            <w:r>
              <w:rPr>
                <w:rFonts w:ascii="Times New Roman" w:hAnsi="Times New Roman"/>
                <w:b w:val="0"/>
                <w:sz w:val="20"/>
              </w:rPr>
              <w:t>—</w:t>
            </w:r>
          </w:p>
        </w:tc>
      </w:tr>
      <w:tr>
        <w:tc>
          <w:tcPr>
            <w:tcW w:type="dxa" w:w="1296"/>
          </w:tcPr>
          <w:p>
            <w:pPr>
              <w:jc w:val="left"/>
            </w:pPr>
            <w:r/>
            <w:r>
              <w:rPr>
                <w:rFonts w:ascii="Times New Roman" w:hAnsi="Times New Roman"/>
                <w:b w:val="0"/>
                <w:sz w:val="20"/>
              </w:rPr>
              <w:t>3d</w:t>
            </w:r>
          </w:p>
        </w:tc>
        <w:tc>
          <w:tcPr>
            <w:tcW w:type="dxa" w:w="1296"/>
          </w:tcPr>
          <w:p>
            <w:pPr>
              <w:jc w:val="left"/>
            </w:pPr>
            <w:r/>
            <w:r>
              <w:rPr>
                <w:rFonts w:ascii="Times New Roman" w:hAnsi="Times New Roman"/>
                <w:b w:val="0"/>
                <w:sz w:val="20"/>
              </w:rPr>
              <w:t>curtailment_awareness (Tier 2+)</w:t>
            </w:r>
          </w:p>
        </w:tc>
        <w:tc>
          <w:tcPr>
            <w:tcW w:type="dxa" w:w="1296"/>
          </w:tcPr>
          <w:p>
            <w:pPr>
              <w:jc w:val="left"/>
            </w:pPr>
            <w:r/>
            <w:r>
              <w:rPr>
                <w:rFonts w:ascii="Times New Roman" w:hAnsi="Times New Roman"/>
                <w:b w:val="0"/>
                <w:sz w:val="20"/>
              </w:rPr>
              <w:t>Institutional</w:t>
            </w:r>
          </w:p>
        </w:tc>
        <w:tc>
          <w:tcPr>
            <w:tcW w:type="dxa" w:w="1296"/>
          </w:tcPr>
          <w:p>
            <w:pPr>
              <w:jc w:val="left"/>
            </w:pPr>
            <w:r/>
            <w:r>
              <w:rPr>
                <w:rFonts w:ascii="Times New Roman" w:hAnsi="Times New Roman"/>
                <w:b w:val="0"/>
                <w:sz w:val="20"/>
              </w:rPr>
              <w:t>shortage_tier &gt;= 2</w:t>
            </w:r>
          </w:p>
        </w:tc>
        <w:tc>
          <w:tcPr>
            <w:tcW w:type="dxa" w:w="1296"/>
          </w:tcPr>
          <w:p>
            <w:pPr>
              <w:jc w:val="left"/>
            </w:pPr>
            <w:r/>
            <w:r>
              <w:rPr>
                <w:rFonts w:ascii="Times New Roman" w:hAnsi="Times New Roman"/>
                <w:b w:val="0"/>
                <w:sz w:val="20"/>
              </w:rPr>
              <w:t>increase_large, increase_small</w:t>
            </w:r>
          </w:p>
        </w:tc>
        <w:tc>
          <w:tcPr>
            <w:tcW w:type="dxa" w:w="1296"/>
          </w:tcPr>
          <w:p>
            <w:pPr>
              <w:jc w:val="left"/>
            </w:pPr>
            <w:r/>
            <w:r>
              <w:rPr>
                <w:rFonts w:ascii="Times New Roman" w:hAnsi="Times New Roman"/>
                <w:b w:val="0"/>
                <w:sz w:val="20"/>
              </w:rPr>
              <w:t>ERROR</w:t>
            </w:r>
          </w:p>
        </w:tc>
        <w:tc>
          <w:tcPr>
            <w:tcW w:type="dxa" w:w="1296"/>
          </w:tcPr>
          <w:p>
            <w:pPr>
              <w:jc w:val="left"/>
            </w:pPr>
            <w:r/>
            <w:r>
              <w:rPr>
                <w:rFonts w:ascii="Times New Roman" w:hAnsi="Times New Roman"/>
                <w:b w:val="0"/>
                <w:sz w:val="20"/>
              </w:rPr>
              <w:t>B (neutral)</w:t>
            </w:r>
          </w:p>
        </w:tc>
      </w:tr>
      <w:tr>
        <w:tc>
          <w:tcPr>
            <w:tcW w:type="dxa" w:w="1296"/>
          </w:tcPr>
          <w:p>
            <w:pPr>
              <w:jc w:val="left"/>
            </w:pPr>
            <w:r/>
            <w:r>
              <w:rPr>
                <w:rFonts w:ascii="Times New Roman" w:hAnsi="Times New Roman"/>
                <w:b w:val="0"/>
                <w:sz w:val="20"/>
              </w:rPr>
              <w:t>3e</w:t>
            </w:r>
          </w:p>
        </w:tc>
        <w:tc>
          <w:tcPr>
            <w:tcW w:type="dxa" w:w="1296"/>
          </w:tcPr>
          <w:p>
            <w:pPr>
              <w:jc w:val="left"/>
            </w:pPr>
            <w:r/>
            <w:r>
              <w:rPr>
                <w:rFonts w:ascii="Times New Roman" w:hAnsi="Times New Roman"/>
                <w:b w:val="0"/>
                <w:sz w:val="20"/>
              </w:rPr>
              <w:t>curtailment_awareness (grace)</w:t>
            </w:r>
          </w:p>
        </w:tc>
        <w:tc>
          <w:tcPr>
            <w:tcW w:type="dxa" w:w="1296"/>
          </w:tcPr>
          <w:p>
            <w:pPr>
              <w:jc w:val="left"/>
            </w:pPr>
            <w:r/>
            <w:r>
              <w:rPr>
                <w:rFonts w:ascii="Times New Roman" w:hAnsi="Times New Roman"/>
                <w:b w:val="0"/>
                <w:sz w:val="20"/>
              </w:rPr>
              <w:t>Institutional</w:t>
            </w:r>
          </w:p>
        </w:tc>
        <w:tc>
          <w:tcPr>
            <w:tcW w:type="dxa" w:w="1296"/>
          </w:tcPr>
          <w:p>
            <w:pPr>
              <w:jc w:val="left"/>
            </w:pPr>
            <w:r/>
            <w:r>
              <w:rPr>
                <w:rFonts w:ascii="Times New Roman" w:hAnsi="Times New Roman"/>
                <w:b w:val="0"/>
                <w:sz w:val="20"/>
              </w:rPr>
              <w:t>shortage_tier = 2 AND loop_year &lt;= 3</w:t>
            </w:r>
          </w:p>
        </w:tc>
        <w:tc>
          <w:tcPr>
            <w:tcW w:type="dxa" w:w="1296"/>
          </w:tcPr>
          <w:p>
            <w:pPr>
              <w:jc w:val="left"/>
            </w:pPr>
            <w:r/>
            <w:r>
              <w:rPr>
                <w:rFonts w:ascii="Times New Roman" w:hAnsi="Times New Roman"/>
                <w:b w:val="0"/>
                <w:sz w:val="20"/>
              </w:rPr>
              <w:t>increase_large, increase_small</w:t>
            </w:r>
          </w:p>
        </w:tc>
        <w:tc>
          <w:tcPr>
            <w:tcW w:type="dxa" w:w="1296"/>
          </w:tcPr>
          <w:p>
            <w:pPr>
              <w:jc w:val="left"/>
            </w:pPr>
            <w:r/>
            <w:r>
              <w:rPr>
                <w:rFonts w:ascii="Times New Roman" w:hAnsi="Times New Roman"/>
                <w:b w:val="0"/>
                <w:sz w:val="20"/>
              </w:rPr>
              <w:t>WARNING</w:t>
            </w:r>
          </w:p>
        </w:tc>
        <w:tc>
          <w:tcPr>
            <w:tcW w:type="dxa" w:w="1296"/>
          </w:tcPr>
          <w:p>
            <w:pPr>
              <w:jc w:val="left"/>
            </w:pPr>
            <w:r/>
            <w:r>
              <w:rPr>
                <w:rFonts w:ascii="Times New Roman" w:hAnsi="Times New Roman"/>
                <w:b w:val="0"/>
                <w:sz w:val="20"/>
              </w:rPr>
              <w:t>—</w:t>
            </w:r>
          </w:p>
        </w:tc>
      </w:tr>
      <w:tr>
        <w:tc>
          <w:tcPr>
            <w:tcW w:type="dxa" w:w="1296"/>
          </w:tcPr>
          <w:p>
            <w:pPr>
              <w:jc w:val="left"/>
            </w:pPr>
            <w:r/>
            <w:r>
              <w:rPr>
                <w:rFonts w:ascii="Times New Roman" w:hAnsi="Times New Roman"/>
                <w:b w:val="0"/>
                <w:sz w:val="20"/>
              </w:rPr>
              <w:t>4</w:t>
            </w:r>
          </w:p>
        </w:tc>
        <w:tc>
          <w:tcPr>
            <w:tcW w:type="dxa" w:w="1296"/>
          </w:tcPr>
          <w:p>
            <w:pPr>
              <w:jc w:val="left"/>
            </w:pPr>
            <w:r/>
            <w:r>
              <w:rPr>
                <w:rFonts w:ascii="Times New Roman" w:hAnsi="Times New Roman"/>
                <w:b w:val="0"/>
                <w:sz w:val="20"/>
              </w:rPr>
              <w:t>compact_allocation</w:t>
            </w:r>
          </w:p>
        </w:tc>
        <w:tc>
          <w:tcPr>
            <w:tcW w:type="dxa" w:w="1296"/>
          </w:tcPr>
          <w:p>
            <w:pPr>
              <w:jc w:val="left"/>
            </w:pPr>
            <w:r/>
            <w:r>
              <w:rPr>
                <w:rFonts w:ascii="Times New Roman" w:hAnsi="Times New Roman"/>
                <w:b w:val="0"/>
                <w:sz w:val="20"/>
              </w:rPr>
              <w:t>Institutional</w:t>
            </w:r>
          </w:p>
        </w:tc>
        <w:tc>
          <w:tcPr>
            <w:tcW w:type="dxa" w:w="1296"/>
          </w:tcPr>
          <w:p>
            <w:pPr>
              <w:jc w:val="left"/>
            </w:pPr>
            <w:r/>
            <w:r>
              <w:rPr>
                <w:rFonts w:ascii="Times New Roman" w:hAnsi="Times New Roman"/>
                <w:b w:val="0"/>
                <w:sz w:val="20"/>
              </w:rPr>
              <w:t>total_basin_demand &gt; basin_allocation</w:t>
            </w:r>
          </w:p>
        </w:tc>
        <w:tc>
          <w:tcPr>
            <w:tcW w:type="dxa" w:w="1296"/>
          </w:tcPr>
          <w:p>
            <w:pPr>
              <w:jc w:val="left"/>
            </w:pPr>
            <w:r/>
            <w:r>
              <w:rPr>
                <w:rFonts w:ascii="Times New Roman" w:hAnsi="Times New Roman"/>
                <w:b w:val="0"/>
                <w:sz w:val="20"/>
              </w:rPr>
              <w:t>increase_large, increase_small</w:t>
            </w:r>
          </w:p>
        </w:tc>
        <w:tc>
          <w:tcPr>
            <w:tcW w:type="dxa" w:w="1296"/>
          </w:tcPr>
          <w:p>
            <w:pPr>
              <w:jc w:val="left"/>
            </w:pPr>
            <w:r/>
            <w:r>
              <w:rPr>
                <w:rFonts w:ascii="Times New Roman" w:hAnsi="Times New Roman"/>
                <w:b w:val="0"/>
                <w:sz w:val="20"/>
              </w:rPr>
              <w:t>WARNING</w:t>
            </w:r>
          </w:p>
        </w:tc>
        <w:tc>
          <w:tcPr>
            <w:tcW w:type="dxa" w:w="1296"/>
          </w:tcPr>
          <w:p>
            <w:pPr>
              <w:jc w:val="left"/>
            </w:pPr>
            <w:r/>
            <w:r>
              <w:rPr>
                <w:rFonts w:ascii="Times New Roman" w:hAnsi="Times New Roman"/>
                <w:b w:val="0"/>
                <w:sz w:val="20"/>
              </w:rPr>
              <w:t>—</w:t>
            </w:r>
          </w:p>
        </w:tc>
      </w:tr>
      <w:tr>
        <w:tc>
          <w:tcPr>
            <w:tcW w:type="dxa" w:w="1296"/>
          </w:tcPr>
          <w:p>
            <w:pPr>
              <w:jc w:val="left"/>
            </w:pPr>
            <w:r/>
            <w:r>
              <w:rPr>
                <w:rFonts w:ascii="Times New Roman" w:hAnsi="Times New Roman"/>
                <w:b w:val="0"/>
                <w:sz w:val="20"/>
              </w:rPr>
              <w:t>5a</w:t>
            </w:r>
          </w:p>
        </w:tc>
        <w:tc>
          <w:tcPr>
            <w:tcW w:type="dxa" w:w="1296"/>
          </w:tcPr>
          <w:p>
            <w:pPr>
              <w:jc w:val="left"/>
            </w:pPr>
            <w:r/>
            <w:r>
              <w:rPr>
                <w:rFonts w:ascii="Times New Roman" w:hAnsi="Times New Roman"/>
                <w:b w:val="0"/>
                <w:sz w:val="20"/>
              </w:rPr>
              <w:t>drought_severity (moderate, large)</w:t>
            </w:r>
          </w:p>
        </w:tc>
        <w:tc>
          <w:tcPr>
            <w:tcW w:type="dxa" w:w="1296"/>
          </w:tcPr>
          <w:p>
            <w:pPr>
              <w:jc w:val="left"/>
            </w:pPr>
            <w:r/>
            <w:r>
              <w:rPr>
                <w:rFonts w:ascii="Times New Roman" w:hAnsi="Times New Roman"/>
                <w:b w:val="0"/>
                <w:sz w:val="20"/>
              </w:rPr>
              <w:t>Institutional</w:t>
            </w:r>
          </w:p>
        </w:tc>
        <w:tc>
          <w:tcPr>
            <w:tcW w:type="dxa" w:w="1296"/>
          </w:tcPr>
          <w:p>
            <w:pPr>
              <w:jc w:val="left"/>
            </w:pPr>
            <w:r/>
            <w:r>
              <w:rPr>
                <w:rFonts w:ascii="Times New Roman" w:hAnsi="Times New Roman"/>
                <w:b w:val="0"/>
                <w:sz w:val="20"/>
              </w:rPr>
              <w:t>drought_index in [0.70, 0.85)</w:t>
            </w:r>
          </w:p>
        </w:tc>
        <w:tc>
          <w:tcPr>
            <w:tcW w:type="dxa" w:w="1296"/>
          </w:tcPr>
          <w:p>
            <w:pPr>
              <w:jc w:val="left"/>
            </w:pPr>
            <w:r/>
            <w:r>
              <w:rPr>
                <w:rFonts w:ascii="Times New Roman" w:hAnsi="Times New Roman"/>
                <w:b w:val="0"/>
                <w:sz w:val="20"/>
              </w:rPr>
              <w:t>increase_large</w:t>
            </w:r>
          </w:p>
        </w:tc>
        <w:tc>
          <w:tcPr>
            <w:tcW w:type="dxa" w:w="1296"/>
          </w:tcPr>
          <w:p>
            <w:pPr>
              <w:jc w:val="left"/>
            </w:pPr>
            <w:r/>
            <w:r>
              <w:rPr>
                <w:rFonts w:ascii="Times New Roman" w:hAnsi="Times New Roman"/>
                <w:b w:val="0"/>
                <w:sz w:val="20"/>
              </w:rPr>
              <w:t>ERROR</w:t>
            </w:r>
          </w:p>
        </w:tc>
        <w:tc>
          <w:tcPr>
            <w:tcW w:type="dxa" w:w="1296"/>
          </w:tcPr>
          <w:p>
            <w:pPr>
              <w:jc w:val="left"/>
            </w:pPr>
            <w:r/>
            <w:r>
              <w:rPr>
                <w:rFonts w:ascii="Times New Roman" w:hAnsi="Times New Roman"/>
                <w:b w:val="0"/>
                <w:sz w:val="20"/>
              </w:rPr>
              <w:t>B (neutral)</w:t>
            </w:r>
          </w:p>
        </w:tc>
      </w:tr>
      <w:tr>
        <w:tc>
          <w:tcPr>
            <w:tcW w:type="dxa" w:w="1296"/>
          </w:tcPr>
          <w:p>
            <w:pPr>
              <w:jc w:val="left"/>
            </w:pPr>
            <w:r/>
            <w:r>
              <w:rPr>
                <w:rFonts w:ascii="Times New Roman" w:hAnsi="Times New Roman"/>
                <w:b w:val="0"/>
                <w:sz w:val="20"/>
              </w:rPr>
              <w:t>5b</w:t>
            </w:r>
          </w:p>
        </w:tc>
        <w:tc>
          <w:tcPr>
            <w:tcW w:type="dxa" w:w="1296"/>
          </w:tcPr>
          <w:p>
            <w:pPr>
              <w:jc w:val="left"/>
            </w:pPr>
            <w:r/>
            <w:r>
              <w:rPr>
                <w:rFonts w:ascii="Times New Roman" w:hAnsi="Times New Roman"/>
                <w:b w:val="0"/>
                <w:sz w:val="20"/>
              </w:rPr>
              <w:t>drought_severity (moderate, small)</w:t>
            </w:r>
          </w:p>
        </w:tc>
        <w:tc>
          <w:tcPr>
            <w:tcW w:type="dxa" w:w="1296"/>
          </w:tcPr>
          <w:p>
            <w:pPr>
              <w:jc w:val="left"/>
            </w:pPr>
            <w:r/>
            <w:r>
              <w:rPr>
                <w:rFonts w:ascii="Times New Roman" w:hAnsi="Times New Roman"/>
                <w:b w:val="0"/>
                <w:sz w:val="20"/>
              </w:rPr>
              <w:t>Institutional</w:t>
            </w:r>
          </w:p>
        </w:tc>
        <w:tc>
          <w:tcPr>
            <w:tcW w:type="dxa" w:w="1296"/>
          </w:tcPr>
          <w:p>
            <w:pPr>
              <w:jc w:val="left"/>
            </w:pPr>
            <w:r/>
            <w:r>
              <w:rPr>
                <w:rFonts w:ascii="Times New Roman" w:hAnsi="Times New Roman"/>
                <w:b w:val="0"/>
                <w:sz w:val="20"/>
              </w:rPr>
              <w:t>drought_index in [0.70, 0.85)</w:t>
            </w:r>
          </w:p>
        </w:tc>
        <w:tc>
          <w:tcPr>
            <w:tcW w:type="dxa" w:w="1296"/>
          </w:tcPr>
          <w:p>
            <w:pPr>
              <w:jc w:val="left"/>
            </w:pPr>
            <w:r/>
            <w:r>
              <w:rPr>
                <w:rFonts w:ascii="Times New Roman" w:hAnsi="Times New Roman"/>
                <w:b w:val="0"/>
                <w:sz w:val="20"/>
              </w:rPr>
              <w:t>increase_small</w:t>
            </w:r>
          </w:p>
        </w:tc>
        <w:tc>
          <w:tcPr>
            <w:tcW w:type="dxa" w:w="1296"/>
          </w:tcPr>
          <w:p>
            <w:pPr>
              <w:jc w:val="left"/>
            </w:pPr>
            <w:r/>
            <w:r>
              <w:rPr>
                <w:rFonts w:ascii="Times New Roman" w:hAnsi="Times New Roman"/>
                <w:b w:val="0"/>
                <w:sz w:val="20"/>
              </w:rPr>
              <w:t>WARNING</w:t>
            </w:r>
          </w:p>
        </w:tc>
        <w:tc>
          <w:tcPr>
            <w:tcW w:type="dxa" w:w="1296"/>
          </w:tcPr>
          <w:p>
            <w:pPr>
              <w:jc w:val="left"/>
            </w:pPr>
            <w:r/>
            <w:r>
              <w:rPr>
                <w:rFonts w:ascii="Times New Roman" w:hAnsi="Times New Roman"/>
                <w:b w:val="0"/>
                <w:sz w:val="20"/>
              </w:rPr>
              <w:t>—</w:t>
            </w:r>
          </w:p>
        </w:tc>
      </w:tr>
      <w:tr>
        <w:tc>
          <w:tcPr>
            <w:tcW w:type="dxa" w:w="1296"/>
          </w:tcPr>
          <w:p>
            <w:pPr>
              <w:jc w:val="left"/>
            </w:pPr>
            <w:r/>
            <w:r>
              <w:rPr>
                <w:rFonts w:ascii="Times New Roman" w:hAnsi="Times New Roman"/>
                <w:b w:val="0"/>
                <w:sz w:val="20"/>
              </w:rPr>
              <w:t>5c</w:t>
            </w:r>
          </w:p>
        </w:tc>
        <w:tc>
          <w:tcPr>
            <w:tcW w:type="dxa" w:w="1296"/>
          </w:tcPr>
          <w:p>
            <w:pPr>
              <w:jc w:val="left"/>
            </w:pPr>
            <w:r/>
            <w:r>
              <w:rPr>
                <w:rFonts w:ascii="Times New Roman" w:hAnsi="Times New Roman"/>
                <w:b w:val="0"/>
                <w:sz w:val="20"/>
              </w:rPr>
              <w:t>drought_severity (extreme)</w:t>
            </w:r>
          </w:p>
        </w:tc>
        <w:tc>
          <w:tcPr>
            <w:tcW w:type="dxa" w:w="1296"/>
          </w:tcPr>
          <w:p>
            <w:pPr>
              <w:jc w:val="left"/>
            </w:pPr>
            <w:r/>
            <w:r>
              <w:rPr>
                <w:rFonts w:ascii="Times New Roman" w:hAnsi="Times New Roman"/>
                <w:b w:val="0"/>
                <w:sz w:val="20"/>
              </w:rPr>
              <w:t>Institutional</w:t>
            </w:r>
          </w:p>
        </w:tc>
        <w:tc>
          <w:tcPr>
            <w:tcW w:type="dxa" w:w="1296"/>
          </w:tcPr>
          <w:p>
            <w:pPr>
              <w:jc w:val="left"/>
            </w:pPr>
            <w:r/>
            <w:r>
              <w:rPr>
                <w:rFonts w:ascii="Times New Roman" w:hAnsi="Times New Roman"/>
                <w:b w:val="0"/>
                <w:sz w:val="20"/>
              </w:rPr>
              <w:t>drought_index &gt;= 0.85</w:t>
            </w:r>
          </w:p>
        </w:tc>
        <w:tc>
          <w:tcPr>
            <w:tcW w:type="dxa" w:w="1296"/>
          </w:tcPr>
          <w:p>
            <w:pPr>
              <w:jc w:val="left"/>
            </w:pPr>
            <w:r/>
            <w:r>
              <w:rPr>
                <w:rFonts w:ascii="Times New Roman" w:hAnsi="Times New Roman"/>
                <w:b w:val="0"/>
                <w:sz w:val="20"/>
              </w:rPr>
              <w:t>increase_large, increase_small</w:t>
            </w:r>
          </w:p>
        </w:tc>
        <w:tc>
          <w:tcPr>
            <w:tcW w:type="dxa" w:w="1296"/>
          </w:tcPr>
          <w:p>
            <w:pPr>
              <w:jc w:val="left"/>
            </w:pPr>
            <w:r/>
            <w:r>
              <w:rPr>
                <w:rFonts w:ascii="Times New Roman" w:hAnsi="Times New Roman"/>
                <w:b w:val="0"/>
                <w:sz w:val="20"/>
              </w:rPr>
              <w:t>ERROR</w:t>
            </w:r>
          </w:p>
        </w:tc>
        <w:tc>
          <w:tcPr>
            <w:tcW w:type="dxa" w:w="1296"/>
          </w:tcPr>
          <w:p>
            <w:pPr>
              <w:jc w:val="left"/>
            </w:pPr>
            <w:r/>
            <w:r>
              <w:rPr>
                <w:rFonts w:ascii="Times New Roman" w:hAnsi="Times New Roman"/>
                <w:b w:val="0"/>
                <w:sz w:val="20"/>
              </w:rPr>
              <w:t>B (neutral)</w:t>
            </w:r>
          </w:p>
        </w:tc>
      </w:tr>
      <w:tr>
        <w:tc>
          <w:tcPr>
            <w:tcW w:type="dxa" w:w="1296"/>
          </w:tcPr>
          <w:p>
            <w:pPr>
              <w:jc w:val="left"/>
            </w:pPr>
            <w:r/>
            <w:r>
              <w:rPr>
                <w:rFonts w:ascii="Times New Roman" w:hAnsi="Times New Roman"/>
                <w:b w:val="0"/>
                <w:sz w:val="20"/>
              </w:rPr>
              <w:t>6</w:t>
            </w:r>
          </w:p>
        </w:tc>
        <w:tc>
          <w:tcPr>
            <w:tcW w:type="dxa" w:w="1296"/>
          </w:tcPr>
          <w:p>
            <w:pPr>
              <w:jc w:val="left"/>
            </w:pPr>
            <w:r/>
            <w:r>
              <w:rPr>
                <w:rFonts w:ascii="Times New Roman" w:hAnsi="Times New Roman"/>
                <w:b w:val="0"/>
                <w:sz w:val="20"/>
              </w:rPr>
              <w:t>minimum_utilisation_floor</w:t>
            </w:r>
          </w:p>
        </w:tc>
        <w:tc>
          <w:tcPr>
            <w:tcW w:type="dxa" w:w="1296"/>
          </w:tcPr>
          <w:p>
            <w:pPr>
              <w:jc w:val="left"/>
            </w:pPr>
            <w:r/>
            <w:r>
              <w:rPr>
                <w:rFonts w:ascii="Times New Roman" w:hAnsi="Times New Roman"/>
                <w:b w:val="0"/>
                <w:sz w:val="20"/>
              </w:rPr>
              <w:t>Physical</w:t>
            </w:r>
          </w:p>
        </w:tc>
        <w:tc>
          <w:tcPr>
            <w:tcW w:type="dxa" w:w="1296"/>
          </w:tcPr>
          <w:p>
            <w:pPr>
              <w:jc w:val="left"/>
            </w:pPr>
            <w:r/>
            <w:r>
              <w:rPr>
                <w:rFonts w:ascii="Times New Roman" w:hAnsi="Times New Roman"/>
                <w:b w:val="0"/>
                <w:sz w:val="20"/>
              </w:rPr>
              <w:t>utilisation &lt; 10% of water_right</w:t>
            </w:r>
          </w:p>
        </w:tc>
        <w:tc>
          <w:tcPr>
            <w:tcW w:type="dxa" w:w="1296"/>
          </w:tcPr>
          <w:p>
            <w:pPr>
              <w:jc w:val="left"/>
            </w:pPr>
            <w:r/>
            <w:r>
              <w:rPr>
                <w:rFonts w:ascii="Times New Roman" w:hAnsi="Times New Roman"/>
                <w:b w:val="0"/>
                <w:sz w:val="20"/>
              </w:rPr>
              <w:t>decrease_large, decrease_small</w:t>
            </w:r>
          </w:p>
        </w:tc>
        <w:tc>
          <w:tcPr>
            <w:tcW w:type="dxa" w:w="1296"/>
          </w:tcPr>
          <w:p>
            <w:pPr>
              <w:jc w:val="left"/>
            </w:pPr>
            <w:r/>
            <w:r>
              <w:rPr>
                <w:rFonts w:ascii="Times New Roman" w:hAnsi="Times New Roman"/>
                <w:b w:val="0"/>
                <w:sz w:val="20"/>
              </w:rPr>
              <w:t>ERROR</w:t>
            </w:r>
          </w:p>
        </w:tc>
        <w:tc>
          <w:tcPr>
            <w:tcW w:type="dxa" w:w="1296"/>
          </w:tcPr>
          <w:p>
            <w:pPr>
              <w:jc w:val="left"/>
            </w:pPr>
            <w:r/>
            <w:r>
              <w:rPr>
                <w:rFonts w:ascii="Times New Roman" w:hAnsi="Times New Roman"/>
                <w:b w:val="0"/>
                <w:sz w:val="20"/>
              </w:rPr>
              <w:t>A (none)</w:t>
            </w:r>
          </w:p>
        </w:tc>
      </w:tr>
      <w:tr>
        <w:tc>
          <w:tcPr>
            <w:tcW w:type="dxa" w:w="1296"/>
          </w:tcPr>
          <w:p>
            <w:pPr>
              <w:jc w:val="left"/>
            </w:pPr>
            <w:r/>
            <w:r>
              <w:rPr>
                <w:rFonts w:ascii="Times New Roman" w:hAnsi="Times New Roman"/>
                <w:b w:val="0"/>
                <w:sz w:val="20"/>
              </w:rPr>
              <w:t>7</w:t>
            </w:r>
          </w:p>
        </w:tc>
        <w:tc>
          <w:tcPr>
            <w:tcW w:type="dxa" w:w="1296"/>
          </w:tcPr>
          <w:p>
            <w:pPr>
              <w:jc w:val="left"/>
            </w:pPr>
            <w:r/>
            <w:r>
              <w:rPr>
                <w:rFonts w:ascii="Times New Roman" w:hAnsi="Times New Roman"/>
                <w:b w:val="0"/>
                <w:sz w:val="20"/>
              </w:rPr>
              <w:t>magnitude_cap</w:t>
            </w:r>
          </w:p>
        </w:tc>
        <w:tc>
          <w:tcPr>
            <w:tcW w:type="dxa" w:w="1296"/>
          </w:tcPr>
          <w:p>
            <w:pPr>
              <w:jc w:val="left"/>
            </w:pPr>
            <w:r/>
            <w:r>
              <w:rPr>
                <w:rFonts w:ascii="Times New Roman" w:hAnsi="Times New Roman"/>
                <w:b w:val="0"/>
                <w:sz w:val="20"/>
              </w:rPr>
              <w:t>Physical</w:t>
            </w:r>
          </w:p>
        </w:tc>
        <w:tc>
          <w:tcPr>
            <w:tcW w:type="dxa" w:w="1296"/>
          </w:tcPr>
          <w:p>
            <w:pPr>
              <w:jc w:val="left"/>
            </w:pPr>
            <w:r/>
            <w:r>
              <w:rPr>
                <w:rFonts w:ascii="Times New Roman" w:hAnsi="Times New Roman"/>
                <w:b w:val="0"/>
                <w:sz w:val="20"/>
              </w:rPr>
              <w:t>proposed_magnitude &gt; cluster_max</w:t>
            </w:r>
          </w:p>
        </w:tc>
        <w:tc>
          <w:tcPr>
            <w:tcW w:type="dxa" w:w="1296"/>
          </w:tcPr>
          <w:p>
            <w:pPr>
              <w:jc w:val="left"/>
            </w:pPr>
            <w:r/>
            <w:r>
              <w:rPr>
                <w:rFonts w:ascii="Times New Roman" w:hAnsi="Times New Roman"/>
                <w:b w:val="0"/>
                <w:sz w:val="20"/>
              </w:rPr>
              <w:t>increase_large, increase_small</w:t>
            </w:r>
          </w:p>
        </w:tc>
        <w:tc>
          <w:tcPr>
            <w:tcW w:type="dxa" w:w="1296"/>
          </w:tcPr>
          <w:p>
            <w:pPr>
              <w:jc w:val="left"/>
            </w:pPr>
            <w:r/>
            <w:r>
              <w:rPr>
                <w:rFonts w:ascii="Times New Roman" w:hAnsi="Times New Roman"/>
                <w:b w:val="0"/>
                <w:sz w:val="20"/>
              </w:rPr>
              <w:t>WARNING</w:t>
            </w:r>
          </w:p>
        </w:tc>
        <w:tc>
          <w:tcPr>
            <w:tcW w:type="dxa" w:w="1296"/>
          </w:tcPr>
          <w:p>
            <w:pPr>
              <w:jc w:val="left"/>
            </w:pPr>
            <w:r/>
            <w:r>
              <w:rPr>
                <w:rFonts w:ascii="Times New Roman" w:hAnsi="Times New Roman"/>
                <w:b w:val="0"/>
                <w:sz w:val="20"/>
              </w:rPr>
              <w:t>—</w:t>
            </w:r>
          </w:p>
        </w:tc>
      </w:tr>
      <w:tr>
        <w:tc>
          <w:tcPr>
            <w:tcW w:type="dxa" w:w="1296"/>
          </w:tcPr>
          <w:p>
            <w:pPr>
              <w:jc w:val="left"/>
            </w:pPr>
            <w:r/>
            <w:r>
              <w:rPr>
                <w:rFonts w:ascii="Times New Roman" w:hAnsi="Times New Roman"/>
                <w:b w:val="0"/>
                <w:sz w:val="20"/>
              </w:rPr>
              <w:t>8</w:t>
            </w:r>
          </w:p>
        </w:tc>
        <w:tc>
          <w:tcPr>
            <w:tcW w:type="dxa" w:w="1296"/>
          </w:tcPr>
          <w:p>
            <w:pPr>
              <w:jc w:val="left"/>
            </w:pPr>
            <w:r/>
            <w:r>
              <w:rPr>
                <w:rFonts w:ascii="Times New Roman" w:hAnsi="Times New Roman"/>
                <w:b w:val="0"/>
                <w:sz w:val="20"/>
              </w:rPr>
              <w:t>supply_gap_block_increase</w:t>
            </w:r>
          </w:p>
        </w:tc>
        <w:tc>
          <w:tcPr>
            <w:tcW w:type="dxa" w:w="1296"/>
          </w:tcPr>
          <w:p>
            <w:pPr>
              <w:jc w:val="left"/>
            </w:pPr>
            <w:r/>
            <w:r>
              <w:rPr>
                <w:rFonts w:ascii="Times New Roman" w:hAnsi="Times New Roman"/>
                <w:b w:val="0"/>
                <w:sz w:val="20"/>
              </w:rPr>
              <w:t>Physical</w:t>
            </w:r>
          </w:p>
        </w:tc>
        <w:tc>
          <w:tcPr>
            <w:tcW w:type="dxa" w:w="1296"/>
          </w:tcPr>
          <w:p>
            <w:pPr>
              <w:jc w:val="left"/>
            </w:pPr>
            <w:r/>
            <w:r>
              <w:rPr>
                <w:rFonts w:ascii="Times New Roman" w:hAnsi="Times New Roman"/>
                <w:b w:val="0"/>
                <w:sz w:val="20"/>
              </w:rPr>
              <w:t>fulfilment_ratio &lt; 70% (diversion/request)</w:t>
            </w:r>
          </w:p>
        </w:tc>
        <w:tc>
          <w:tcPr>
            <w:tcW w:type="dxa" w:w="1296"/>
          </w:tcPr>
          <w:p>
            <w:pPr>
              <w:jc w:val="left"/>
            </w:pPr>
            <w:r/>
            <w:r>
              <w:rPr>
                <w:rFonts w:ascii="Times New Roman" w:hAnsi="Times New Roman"/>
                <w:b w:val="0"/>
                <w:sz w:val="20"/>
              </w:rPr>
              <w:t>increase_large, increase_small</w:t>
            </w:r>
          </w:p>
        </w:tc>
        <w:tc>
          <w:tcPr>
            <w:tcW w:type="dxa" w:w="1296"/>
          </w:tcPr>
          <w:p>
            <w:pPr>
              <w:jc w:val="left"/>
            </w:pPr>
            <w:r/>
            <w:r>
              <w:rPr>
                <w:rFonts w:ascii="Times New Roman" w:hAnsi="Times New Roman"/>
                <w:b w:val="0"/>
                <w:sz w:val="20"/>
              </w:rPr>
              <w:t>ERROR</w:t>
            </w:r>
          </w:p>
        </w:tc>
        <w:tc>
          <w:tcPr>
            <w:tcW w:type="dxa" w:w="1296"/>
          </w:tcPr>
          <w:p>
            <w:pPr>
              <w:jc w:val="left"/>
            </w:pPr>
            <w:r/>
            <w:r>
              <w:rPr>
                <w:rFonts w:ascii="Times New Roman" w:hAnsi="Times New Roman"/>
                <w:b w:val="0"/>
                <w:sz w:val="20"/>
              </w:rPr>
              <w:t>B (neutral)</w:t>
            </w:r>
          </w:p>
        </w:tc>
      </w:tr>
      <w:tr>
        <w:tc>
          <w:tcPr>
            <w:tcW w:type="dxa" w:w="1296"/>
          </w:tcPr>
          <w:p>
            <w:pPr>
              <w:jc w:val="left"/>
            </w:pPr>
            <w:r/>
            <w:r>
              <w:rPr>
                <w:rFonts w:ascii="Times New Roman" w:hAnsi="Times New Roman"/>
                <w:b w:val="0"/>
                <w:sz w:val="20"/>
              </w:rPr>
              <w:t>9</w:t>
            </w:r>
          </w:p>
        </w:tc>
        <w:tc>
          <w:tcPr>
            <w:tcW w:type="dxa" w:w="1296"/>
          </w:tcPr>
          <w:p>
            <w:pPr>
              <w:jc w:val="left"/>
            </w:pPr>
            <w:r/>
            <w:r>
              <w:rPr>
                <w:rFonts w:ascii="Times New Roman" w:hAnsi="Times New Roman"/>
                <w:b w:val="0"/>
                <w:sz w:val="20"/>
              </w:rPr>
              <w:t>consecutive_increase_cap</w:t>
            </w:r>
          </w:p>
        </w:tc>
        <w:tc>
          <w:tcPr>
            <w:tcW w:type="dxa" w:w="1296"/>
          </w:tcPr>
          <w:p>
            <w:pPr>
              <w:jc w:val="left"/>
            </w:pPr>
            <w:r/>
            <w:r>
              <w:rPr>
                <w:rFonts w:ascii="Times New Roman" w:hAnsi="Times New Roman"/>
                <w:b w:val="0"/>
                <w:sz w:val="20"/>
              </w:rPr>
              <w:t>Temporal</w:t>
            </w:r>
          </w:p>
        </w:tc>
        <w:tc>
          <w:tcPr>
            <w:tcW w:type="dxa" w:w="1296"/>
          </w:tcPr>
          <w:p>
            <w:pPr>
              <w:jc w:val="left"/>
            </w:pPr>
            <w:r/>
            <w:r>
              <w:rPr>
                <w:rFonts w:ascii="Times New Roman" w:hAnsi="Times New Roman"/>
                <w:b w:val="0"/>
                <w:sz w:val="20"/>
              </w:rPr>
              <w:t>consecutive increases &gt;= 3 years (wet-period exempt: drought_index &lt; 0.3)</w:t>
            </w:r>
          </w:p>
        </w:tc>
        <w:tc>
          <w:tcPr>
            <w:tcW w:type="dxa" w:w="1296"/>
          </w:tcPr>
          <w:p>
            <w:pPr>
              <w:jc w:val="left"/>
            </w:pPr>
            <w:r/>
            <w:r>
              <w:rPr>
                <w:rFonts w:ascii="Times New Roman" w:hAnsi="Times New Roman"/>
                <w:b w:val="0"/>
                <w:sz w:val="20"/>
              </w:rPr>
              <w:t>increase_large, increase_small</w:t>
            </w:r>
          </w:p>
        </w:tc>
        <w:tc>
          <w:tcPr>
            <w:tcW w:type="dxa" w:w="1296"/>
          </w:tcPr>
          <w:p>
            <w:pPr>
              <w:jc w:val="left"/>
            </w:pPr>
            <w:r/>
            <w:r>
              <w:rPr>
                <w:rFonts w:ascii="Times New Roman" w:hAnsi="Times New Roman"/>
                <w:b w:val="0"/>
                <w:sz w:val="20"/>
              </w:rPr>
              <w:t>ERROR</w:t>
            </w:r>
          </w:p>
        </w:tc>
        <w:tc>
          <w:tcPr>
            <w:tcW w:type="dxa" w:w="1296"/>
          </w:tcPr>
          <w:p>
            <w:pPr>
              <w:jc w:val="left"/>
            </w:pPr>
            <w:r/>
            <w:r>
              <w:rPr>
                <w:rFonts w:ascii="Times New Roman" w:hAnsi="Times New Roman"/>
                <w:b w:val="0"/>
                <w:sz w:val="20"/>
              </w:rPr>
              <w:t>B (neutral)</w:t>
            </w:r>
          </w:p>
        </w:tc>
      </w:tr>
      <w:tr>
        <w:tc>
          <w:tcPr>
            <w:tcW w:type="dxa" w:w="1296"/>
          </w:tcPr>
          <w:p>
            <w:pPr>
              <w:jc w:val="left"/>
            </w:pPr>
            <w:r/>
            <w:r>
              <w:rPr>
                <w:rFonts w:ascii="Times New Roman" w:hAnsi="Times New Roman"/>
                <w:b w:val="0"/>
                <w:sz w:val="20"/>
              </w:rPr>
              <w:t>10</w:t>
            </w:r>
          </w:p>
        </w:tc>
        <w:tc>
          <w:tcPr>
            <w:tcW w:type="dxa" w:w="1296"/>
          </w:tcPr>
          <w:p>
            <w:pPr>
              <w:jc w:val="left"/>
            </w:pPr>
            <w:r/>
            <w:r>
              <w:rPr>
                <w:rFonts w:ascii="Times New Roman" w:hAnsi="Times New Roman"/>
                <w:b w:val="0"/>
                <w:sz w:val="20"/>
              </w:rPr>
              <w:t>demand_floor_stabilizer</w:t>
            </w:r>
          </w:p>
        </w:tc>
        <w:tc>
          <w:tcPr>
            <w:tcW w:type="dxa" w:w="1296"/>
          </w:tcPr>
          <w:p>
            <w:pPr>
              <w:jc w:val="left"/>
            </w:pPr>
            <w:r/>
            <w:r>
              <w:rPr>
                <w:rFonts w:ascii="Times New Roman" w:hAnsi="Times New Roman"/>
                <w:b w:val="0"/>
                <w:sz w:val="20"/>
              </w:rPr>
              <w:t>Economic</w:t>
            </w:r>
          </w:p>
        </w:tc>
        <w:tc>
          <w:tcPr>
            <w:tcW w:type="dxa" w:w="1296"/>
          </w:tcPr>
          <w:p>
            <w:pPr>
              <w:jc w:val="left"/>
            </w:pPr>
            <w:r/>
            <w:r>
              <w:rPr>
                <w:rFonts w:ascii="Times New Roman" w:hAnsi="Times New Roman"/>
                <w:b w:val="0"/>
                <w:sz w:val="20"/>
              </w:rPr>
              <w:t>utilisation &lt; 50% of water_right</w:t>
            </w:r>
          </w:p>
        </w:tc>
        <w:tc>
          <w:tcPr>
            <w:tcW w:type="dxa" w:w="1296"/>
          </w:tcPr>
          <w:p>
            <w:pPr>
              <w:jc w:val="left"/>
            </w:pPr>
            <w:r/>
            <w:r>
              <w:rPr>
                <w:rFonts w:ascii="Times New Roman" w:hAnsi="Times New Roman"/>
                <w:b w:val="0"/>
                <w:sz w:val="20"/>
              </w:rPr>
              <w:t>decrease_large, decrease_small</w:t>
            </w:r>
          </w:p>
        </w:tc>
        <w:tc>
          <w:tcPr>
            <w:tcW w:type="dxa" w:w="1296"/>
          </w:tcPr>
          <w:p>
            <w:pPr>
              <w:jc w:val="left"/>
            </w:pPr>
            <w:r/>
            <w:r>
              <w:rPr>
                <w:rFonts w:ascii="Times New Roman" w:hAnsi="Times New Roman"/>
                <w:b w:val="0"/>
                <w:sz w:val="20"/>
              </w:rPr>
              <w:t>ERROR</w:t>
            </w:r>
          </w:p>
        </w:tc>
        <w:tc>
          <w:tcPr>
            <w:tcW w:type="dxa" w:w="1296"/>
          </w:tcPr>
          <w:p>
            <w:pPr>
              <w:jc w:val="left"/>
            </w:pPr>
            <w:r/>
            <w:r>
              <w:rPr>
                <w:rFonts w:ascii="Times New Roman" w:hAnsi="Times New Roman"/>
                <w:b w:val="0"/>
                <w:sz w:val="20"/>
              </w:rPr>
              <w:t>C (none)</w:t>
            </w:r>
          </w:p>
        </w:tc>
      </w:tr>
      <w:tr>
        <w:tc>
          <w:tcPr>
            <w:tcW w:type="dxa" w:w="1296"/>
          </w:tcPr>
          <w:p>
            <w:pPr>
              <w:jc w:val="left"/>
            </w:pPr>
            <w:r/>
            <w:r>
              <w:rPr>
                <w:rFonts w:ascii="Times New Roman" w:hAnsi="Times New Roman"/>
                <w:b w:val="0"/>
                <w:sz w:val="20"/>
              </w:rPr>
              <w:t>11</w:t>
            </w:r>
          </w:p>
        </w:tc>
        <w:tc>
          <w:tcPr>
            <w:tcW w:type="dxa" w:w="1296"/>
          </w:tcPr>
          <w:p>
            <w:pPr>
              <w:jc w:val="left"/>
            </w:pPr>
            <w:r/>
            <w:r>
              <w:rPr>
                <w:rFonts w:ascii="Times New Roman" w:hAnsi="Times New Roman"/>
                <w:b w:val="0"/>
                <w:sz w:val="20"/>
              </w:rPr>
              <w:t>demand_ceiling_stabilizer</w:t>
            </w:r>
          </w:p>
        </w:tc>
        <w:tc>
          <w:tcPr>
            <w:tcW w:type="dxa" w:w="1296"/>
          </w:tcPr>
          <w:p>
            <w:pPr>
              <w:jc w:val="left"/>
            </w:pPr>
            <w:r/>
            <w:r>
              <w:rPr>
                <w:rFonts w:ascii="Times New Roman" w:hAnsi="Times New Roman"/>
                <w:b w:val="0"/>
                <w:sz w:val="20"/>
              </w:rPr>
              <w:t>Economic</w:t>
            </w:r>
          </w:p>
        </w:tc>
        <w:tc>
          <w:tcPr>
            <w:tcW w:type="dxa" w:w="1296"/>
          </w:tcPr>
          <w:p>
            <w:pPr>
              <w:jc w:val="left"/>
            </w:pPr>
            <w:r/>
            <w:r>
              <w:rPr>
                <w:rFonts w:ascii="Times New Roman" w:hAnsi="Times New Roman"/>
                <w:b w:val="0"/>
                <w:sz w:val="20"/>
              </w:rPr>
              <w:t>total_basin_demand &gt; 6.0 MAF</w:t>
            </w:r>
          </w:p>
        </w:tc>
        <w:tc>
          <w:tcPr>
            <w:tcW w:type="dxa" w:w="1296"/>
          </w:tcPr>
          <w:p>
            <w:pPr>
              <w:jc w:val="left"/>
            </w:pPr>
            <w:r/>
            <w:r>
              <w:rPr>
                <w:rFonts w:ascii="Times New Roman" w:hAnsi="Times New Roman"/>
                <w:b w:val="0"/>
                <w:sz w:val="20"/>
              </w:rPr>
              <w:t>increase_large, increase_small</w:t>
            </w:r>
          </w:p>
        </w:tc>
        <w:tc>
          <w:tcPr>
            <w:tcW w:type="dxa" w:w="1296"/>
          </w:tcPr>
          <w:p>
            <w:pPr>
              <w:jc w:val="left"/>
            </w:pPr>
            <w:r/>
            <w:r>
              <w:rPr>
                <w:rFonts w:ascii="Times New Roman" w:hAnsi="Times New Roman"/>
                <w:b w:val="0"/>
                <w:sz w:val="20"/>
              </w:rPr>
              <w:t>ERROR</w:t>
            </w:r>
          </w:p>
        </w:tc>
        <w:tc>
          <w:tcPr>
            <w:tcW w:type="dxa" w:w="1296"/>
          </w:tcPr>
          <w:p>
            <w:pPr>
              <w:jc w:val="left"/>
            </w:pPr>
            <w:r/>
            <w:r>
              <w:rPr>
                <w:rFonts w:ascii="Times New Roman" w:hAnsi="Times New Roman"/>
                <w:b w:val="0"/>
                <w:sz w:val="20"/>
              </w:rPr>
              <w:t>C (none)</w:t>
            </w:r>
          </w:p>
        </w:tc>
      </w:tr>
      <w:tr>
        <w:tc>
          <w:tcPr>
            <w:tcW w:type="dxa" w:w="1296"/>
          </w:tcPr>
          <w:p>
            <w:pPr>
              <w:jc w:val="left"/>
            </w:pPr>
            <w:r/>
            <w:r>
              <w:rPr>
                <w:rFonts w:ascii="Times New Roman" w:hAnsi="Times New Roman"/>
                <w:b w:val="0"/>
                <w:sz w:val="20"/>
              </w:rPr>
              <w:t>12</w:t>
            </w:r>
          </w:p>
        </w:tc>
        <w:tc>
          <w:tcPr>
            <w:tcW w:type="dxa" w:w="1296"/>
          </w:tcPr>
          <w:p>
            <w:pPr>
              <w:jc w:val="left"/>
            </w:pPr>
            <w:r/>
            <w:r>
              <w:rPr>
                <w:rFonts w:ascii="Times New Roman" w:hAnsi="Times New Roman"/>
                <w:b w:val="0"/>
                <w:sz w:val="20"/>
              </w:rPr>
              <w:t>zero_escape</w:t>
            </w:r>
          </w:p>
        </w:tc>
        <w:tc>
          <w:tcPr>
            <w:tcW w:type="dxa" w:w="1296"/>
          </w:tcPr>
          <w:p>
            <w:pPr>
              <w:jc w:val="left"/>
            </w:pPr>
            <w:r/>
            <w:r>
              <w:rPr>
                <w:rFonts w:ascii="Times New Roman" w:hAnsi="Times New Roman"/>
                <w:b w:val="0"/>
                <w:sz w:val="20"/>
              </w:rPr>
              <w:t>Behavioral</w:t>
            </w:r>
          </w:p>
        </w:tc>
        <w:tc>
          <w:tcPr>
            <w:tcW w:type="dxa" w:w="1296"/>
          </w:tcPr>
          <w:p>
            <w:pPr>
              <w:jc w:val="left"/>
            </w:pPr>
            <w:r/>
            <w:r>
              <w:rPr>
                <w:rFonts w:ascii="Times New Roman" w:hAnsi="Times New Roman"/>
                <w:b w:val="0"/>
                <w:sz w:val="20"/>
              </w:rPr>
              <w:t>utilisation &lt; 15% of water_right</w:t>
            </w:r>
          </w:p>
        </w:tc>
        <w:tc>
          <w:tcPr>
            <w:tcW w:type="dxa" w:w="1296"/>
          </w:tcPr>
          <w:p>
            <w:pPr>
              <w:jc w:val="left"/>
            </w:pPr>
            <w:r/>
            <w:r>
              <w:rPr>
                <w:rFonts w:ascii="Times New Roman" w:hAnsi="Times New Roman"/>
                <w:b w:val="0"/>
                <w:sz w:val="20"/>
              </w:rPr>
              <w:t>maintain_demand</w:t>
            </w:r>
          </w:p>
        </w:tc>
        <w:tc>
          <w:tcPr>
            <w:tcW w:type="dxa" w:w="1296"/>
          </w:tcPr>
          <w:p>
            <w:pPr>
              <w:jc w:val="left"/>
            </w:pPr>
            <w:r/>
            <w:r>
              <w:rPr>
                <w:rFonts w:ascii="Times New Roman" w:hAnsi="Times New Roman"/>
                <w:b w:val="0"/>
                <w:sz w:val="20"/>
              </w:rPr>
              <w:t>ERROR</w:t>
            </w:r>
          </w:p>
        </w:tc>
        <w:tc>
          <w:tcPr>
            <w:tcW w:type="dxa" w:w="1296"/>
          </w:tcPr>
          <w:p>
            <w:pPr>
              <w:jc w:val="left"/>
            </w:pPr>
            <w:r/>
            <w:r>
              <w:rPr>
                <w:rFonts w:ascii="Times New Roman" w:hAnsi="Times New Roman"/>
                <w:b w:val="0"/>
                <w:sz w:val="20"/>
              </w:rPr>
              <w:t>B (neutral)</w:t>
            </w:r>
          </w:p>
        </w:tc>
      </w:tr>
    </w:tbl>
    <w:p/>
    <w:p>
      <w:r>
        <w:rPr>
          <w:rFonts w:ascii="Times New Roman" w:hAnsi="Times New Roman"/>
          <w:b/>
          <w:sz w:val="24"/>
        </w:rPr>
        <w:t>Notes:</w:t>
      </w:r>
    </w:p>
    <w:p>
      <w:pPr>
        <w:pStyle w:val="ListBullet"/>
      </w:pPr>
      <w:r>
        <w:rPr>
          <w:rFonts w:ascii="Times New Roman" w:hAnsi="Times New Roman"/>
          <w:sz w:val="24"/>
        </w:rPr>
        <w:t>Suggestion Tier: A = physical constraints (no suggestion), B = neutral enumeration of remaining feasible skills, C = behavioral stabilizers (no suggestion). Tier B suggestions are deliberately neutralized to avoid directional bias (Section S6.4).</w:t>
      </w:r>
    </w:p>
    <w:p>
      <w:pPr>
        <w:pStyle w:val="ListBullet"/>
      </w:pPr>
      <w:r>
        <w:rPr>
          <w:rFonts w:ascii="Times New Roman" w:hAnsi="Times New Roman"/>
          <w:sz w:val="24"/>
        </w:rPr>
        <w:t>Utilisation: Defined as current_request / water_right (the requested proportion of legal allocation, not the actual diversion).</w:t>
      </w:r>
    </w:p>
    <w:p>
      <w:pPr>
        <w:pStyle w:val="ListBullet"/>
      </w:pPr>
      <w:r>
        <w:rPr>
          <w:rFonts w:ascii="Times New Roman" w:hAnsi="Times New Roman"/>
          <w:sz w:val="24"/>
        </w:rPr>
        <w:t>Curtailment Ratio: Defined as (request - diversion) / request when request &gt; 0, otherwise 0.</w:t>
      </w:r>
    </w:p>
    <w:p>
      <w:pPr>
        <w:pStyle w:val="ListBullet"/>
      </w:pPr>
      <w:r>
        <w:rPr>
          <w:rFonts w:ascii="Times New Roman" w:hAnsi="Times New Roman"/>
          <w:sz w:val="24"/>
        </w:rPr>
        <w:t>Fulfilment Ratio: Defined as diversion / request when request &gt; 0, otherwise 1.0.</w:t>
      </w:r>
    </w:p>
    <w:p>
      <w:pPr>
        <w:pStyle w:val="Heading2"/>
      </w:pPr>
      <w:r>
        <w:rPr>
          <w:rFonts w:ascii="Times New Roman" w:hAnsi="Times New Roman"/>
          <w:color w:val="000000"/>
        </w:rPr>
        <w:t>Table S6.2: Configuration-Level Thinking Rules (3 Rules)</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jc w:val="left"/>
            </w:pPr>
            <w:r/>
            <w:r>
              <w:rPr>
                <w:rFonts w:ascii="Times New Roman" w:hAnsi="Times New Roman"/>
                <w:b/>
                <w:sz w:val="20"/>
              </w:rPr>
              <w:t>#</w:t>
            </w:r>
          </w:p>
        </w:tc>
        <w:tc>
          <w:tcPr>
            <w:tcW w:type="dxa" w:w="1512"/>
          </w:tcPr>
          <w:p>
            <w:pPr>
              <w:jc w:val="left"/>
            </w:pPr>
            <w:r/>
            <w:r>
              <w:rPr>
                <w:rFonts w:ascii="Times New Roman" w:hAnsi="Times New Roman"/>
                <w:b/>
                <w:sz w:val="20"/>
              </w:rPr>
              <w:t>Rule ID</w:t>
            </w:r>
          </w:p>
        </w:tc>
        <w:tc>
          <w:tcPr>
            <w:tcW w:type="dxa" w:w="1512"/>
          </w:tcPr>
          <w:p>
            <w:pPr>
              <w:jc w:val="left"/>
            </w:pPr>
            <w:r/>
            <w:r>
              <w:rPr>
                <w:rFonts w:ascii="Times New Roman" w:hAnsi="Times New Roman"/>
                <w:b/>
                <w:sz w:val="20"/>
              </w:rPr>
              <w:t>Construct(s)</w:t>
            </w:r>
          </w:p>
        </w:tc>
        <w:tc>
          <w:tcPr>
            <w:tcW w:type="dxa" w:w="1512"/>
          </w:tcPr>
          <w:p>
            <w:pPr>
              <w:jc w:val="left"/>
            </w:pPr>
            <w:r/>
            <w:r>
              <w:rPr>
                <w:rFonts w:ascii="Times New Roman" w:hAnsi="Times New Roman"/>
                <w:b/>
                <w:sz w:val="20"/>
              </w:rPr>
              <w:t>Condition</w:t>
            </w:r>
          </w:p>
        </w:tc>
        <w:tc>
          <w:tcPr>
            <w:tcW w:type="dxa" w:w="1512"/>
          </w:tcPr>
          <w:p>
            <w:pPr>
              <w:jc w:val="left"/>
            </w:pPr>
            <w:r/>
            <w:r>
              <w:rPr>
                <w:rFonts w:ascii="Times New Roman" w:hAnsi="Times New Roman"/>
                <w:b/>
                <w:sz w:val="20"/>
              </w:rPr>
              <w:t>Blocked Skills</w:t>
            </w:r>
          </w:p>
        </w:tc>
        <w:tc>
          <w:tcPr>
            <w:tcW w:type="dxa" w:w="1512"/>
          </w:tcPr>
          <w:p>
            <w:pPr>
              <w:jc w:val="left"/>
            </w:pPr>
            <w:r/>
            <w:r>
              <w:rPr>
                <w:rFonts w:ascii="Times New Roman" w:hAnsi="Times New Roman"/>
                <w:b/>
                <w:sz w:val="20"/>
              </w:rPr>
              <w:t>Level</w:t>
            </w:r>
          </w:p>
        </w:tc>
      </w:tr>
      <w:tr>
        <w:tc>
          <w:tcPr>
            <w:tcW w:type="dxa" w:w="1512"/>
          </w:tcPr>
          <w:p>
            <w:pPr>
              <w:jc w:val="left"/>
            </w:pPr>
            <w:r/>
            <w:r>
              <w:rPr>
                <w:rFonts w:ascii="Times New Roman" w:hAnsi="Times New Roman"/>
                <w:b w:val="0"/>
                <w:sz w:val="20"/>
              </w:rPr>
              <w:t>T1</w:t>
            </w:r>
          </w:p>
        </w:tc>
        <w:tc>
          <w:tcPr>
            <w:tcW w:type="dxa" w:w="1512"/>
          </w:tcPr>
          <w:p>
            <w:pPr>
              <w:jc w:val="left"/>
            </w:pPr>
            <w:r/>
            <w:r>
              <w:rPr>
                <w:rFonts w:ascii="Times New Roman" w:hAnsi="Times New Roman"/>
                <w:b w:val="0"/>
                <w:sz w:val="20"/>
              </w:rPr>
              <w:t>high_threat_no_maintain</w:t>
            </w:r>
          </w:p>
        </w:tc>
        <w:tc>
          <w:tcPr>
            <w:tcW w:type="dxa" w:w="1512"/>
          </w:tcPr>
          <w:p>
            <w:pPr>
              <w:jc w:val="left"/>
            </w:pPr>
            <w:r/>
            <w:r>
              <w:rPr>
                <w:rFonts w:ascii="Times New Roman" w:hAnsi="Times New Roman"/>
                <w:b w:val="0"/>
                <w:sz w:val="20"/>
              </w:rPr>
              <w:t>WSA_LABEL</w:t>
            </w:r>
          </w:p>
        </w:tc>
        <w:tc>
          <w:tcPr>
            <w:tcW w:type="dxa" w:w="1512"/>
          </w:tcPr>
          <w:p>
            <w:pPr>
              <w:jc w:val="left"/>
            </w:pPr>
            <w:r/>
            <w:r>
              <w:rPr>
                <w:rFonts w:ascii="Times New Roman" w:hAnsi="Times New Roman"/>
                <w:b w:val="0"/>
                <w:sz w:val="20"/>
              </w:rPr>
              <w:t>WSA = VH (Very High)</w:t>
            </w:r>
          </w:p>
        </w:tc>
        <w:tc>
          <w:tcPr>
            <w:tcW w:type="dxa" w:w="1512"/>
          </w:tcPr>
          <w:p>
            <w:pPr>
              <w:jc w:val="left"/>
            </w:pPr>
            <w:r/>
            <w:r>
              <w:rPr>
                <w:rFonts w:ascii="Times New Roman" w:hAnsi="Times New Roman"/>
                <w:b w:val="0"/>
                <w:sz w:val="20"/>
              </w:rPr>
              <w:t>maintain_demand</w:t>
            </w:r>
          </w:p>
        </w:tc>
        <w:tc>
          <w:tcPr>
            <w:tcW w:type="dxa" w:w="1512"/>
          </w:tcPr>
          <w:p>
            <w:pPr>
              <w:jc w:val="left"/>
            </w:pPr>
            <w:r/>
            <w:r>
              <w:rPr>
                <w:rFonts w:ascii="Times New Roman" w:hAnsi="Times New Roman"/>
                <w:b w:val="0"/>
                <w:sz w:val="20"/>
              </w:rPr>
              <w:t>WARNING</w:t>
            </w:r>
          </w:p>
        </w:tc>
      </w:tr>
      <w:tr>
        <w:tc>
          <w:tcPr>
            <w:tcW w:type="dxa" w:w="1512"/>
          </w:tcPr>
          <w:p>
            <w:pPr>
              <w:jc w:val="left"/>
            </w:pPr>
            <w:r/>
            <w:r>
              <w:rPr>
                <w:rFonts w:ascii="Times New Roman" w:hAnsi="Times New Roman"/>
                <w:b w:val="0"/>
                <w:sz w:val="20"/>
              </w:rPr>
              <w:t>T2</w:t>
            </w:r>
          </w:p>
        </w:tc>
        <w:tc>
          <w:tcPr>
            <w:tcW w:type="dxa" w:w="1512"/>
          </w:tcPr>
          <w:p>
            <w:pPr>
              <w:jc w:val="left"/>
            </w:pPr>
            <w:r/>
            <w:r>
              <w:rPr>
                <w:rFonts w:ascii="Times New Roman" w:hAnsi="Times New Roman"/>
                <w:b w:val="0"/>
                <w:sz w:val="20"/>
              </w:rPr>
              <w:t>low_threat_no_increase</w:t>
            </w:r>
          </w:p>
        </w:tc>
        <w:tc>
          <w:tcPr>
            <w:tcW w:type="dxa" w:w="1512"/>
          </w:tcPr>
          <w:p>
            <w:pPr>
              <w:jc w:val="left"/>
            </w:pPr>
            <w:r/>
            <w:r>
              <w:rPr>
                <w:rFonts w:ascii="Times New Roman" w:hAnsi="Times New Roman"/>
                <w:b w:val="0"/>
                <w:sz w:val="20"/>
              </w:rPr>
              <w:t>WSA_LABEL</w:t>
            </w:r>
          </w:p>
        </w:tc>
        <w:tc>
          <w:tcPr>
            <w:tcW w:type="dxa" w:w="1512"/>
          </w:tcPr>
          <w:p>
            <w:pPr>
              <w:jc w:val="left"/>
            </w:pPr>
            <w:r/>
            <w:r>
              <w:rPr>
                <w:rFonts w:ascii="Times New Roman" w:hAnsi="Times New Roman"/>
                <w:b w:val="0"/>
                <w:sz w:val="20"/>
              </w:rPr>
              <w:t>WSA = VL (Very Low)</w:t>
            </w:r>
          </w:p>
        </w:tc>
        <w:tc>
          <w:tcPr>
            <w:tcW w:type="dxa" w:w="1512"/>
          </w:tcPr>
          <w:p>
            <w:pPr>
              <w:jc w:val="left"/>
            </w:pPr>
            <w:r/>
            <w:r>
              <w:rPr>
                <w:rFonts w:ascii="Times New Roman" w:hAnsi="Times New Roman"/>
                <w:b w:val="0"/>
                <w:sz w:val="20"/>
              </w:rPr>
              <w:t>increase_large, increase_small</w:t>
            </w:r>
          </w:p>
        </w:tc>
        <w:tc>
          <w:tcPr>
            <w:tcW w:type="dxa" w:w="1512"/>
          </w:tcPr>
          <w:p>
            <w:pPr>
              <w:jc w:val="left"/>
            </w:pPr>
            <w:r/>
            <w:r>
              <w:rPr>
                <w:rFonts w:ascii="Times New Roman" w:hAnsi="Times New Roman"/>
                <w:b w:val="0"/>
                <w:sz w:val="20"/>
              </w:rPr>
              <w:t>ERROR</w:t>
            </w:r>
          </w:p>
        </w:tc>
      </w:tr>
      <w:tr>
        <w:tc>
          <w:tcPr>
            <w:tcW w:type="dxa" w:w="1512"/>
          </w:tcPr>
          <w:p>
            <w:pPr>
              <w:jc w:val="left"/>
            </w:pPr>
            <w:r/>
            <w:r>
              <w:rPr>
                <w:rFonts w:ascii="Times New Roman" w:hAnsi="Times New Roman"/>
                <w:b w:val="0"/>
                <w:sz w:val="20"/>
              </w:rPr>
              <w:t>T3</w:t>
            </w:r>
          </w:p>
        </w:tc>
        <w:tc>
          <w:tcPr>
            <w:tcW w:type="dxa" w:w="1512"/>
          </w:tcPr>
          <w:p>
            <w:pPr>
              <w:jc w:val="left"/>
            </w:pPr>
            <w:r/>
            <w:r>
              <w:rPr>
                <w:rFonts w:ascii="Times New Roman" w:hAnsi="Times New Roman"/>
                <w:b w:val="0"/>
                <w:sz w:val="20"/>
              </w:rPr>
              <w:t>high_threat_high_cope_no_increase</w:t>
            </w:r>
          </w:p>
        </w:tc>
        <w:tc>
          <w:tcPr>
            <w:tcW w:type="dxa" w:w="1512"/>
          </w:tcPr>
          <w:p>
            <w:pPr>
              <w:jc w:val="left"/>
            </w:pPr>
            <w:r/>
            <w:r>
              <w:rPr>
                <w:rFonts w:ascii="Times New Roman" w:hAnsi="Times New Roman"/>
                <w:b w:val="0"/>
                <w:sz w:val="20"/>
              </w:rPr>
              <w:t>WSA_LABEL, ACA_LABEL</w:t>
            </w:r>
          </w:p>
        </w:tc>
        <w:tc>
          <w:tcPr>
            <w:tcW w:type="dxa" w:w="1512"/>
          </w:tcPr>
          <w:p>
            <w:pPr>
              <w:jc w:val="left"/>
            </w:pPr>
            <w:r/>
            <w:r>
              <w:rPr>
                <w:rFonts w:ascii="Times New Roman" w:hAnsi="Times New Roman"/>
                <w:b w:val="0"/>
                <w:sz w:val="20"/>
              </w:rPr>
              <w:t>WSA in {H, VH} AND ACA in {H, VH}</w:t>
            </w:r>
          </w:p>
        </w:tc>
        <w:tc>
          <w:tcPr>
            <w:tcW w:type="dxa" w:w="1512"/>
          </w:tcPr>
          <w:p>
            <w:pPr>
              <w:jc w:val="left"/>
            </w:pPr>
            <w:r/>
            <w:r>
              <w:rPr>
                <w:rFonts w:ascii="Times New Roman" w:hAnsi="Times New Roman"/>
                <w:b w:val="0"/>
                <w:sz w:val="20"/>
              </w:rPr>
              <w:t>increase_large, increase_small</w:t>
            </w:r>
          </w:p>
        </w:tc>
        <w:tc>
          <w:tcPr>
            <w:tcW w:type="dxa" w:w="1512"/>
          </w:tcPr>
          <w:p>
            <w:pPr>
              <w:jc w:val="left"/>
            </w:pPr>
            <w:r/>
            <w:r>
              <w:rPr>
                <w:rFonts w:ascii="Times New Roman" w:hAnsi="Times New Roman"/>
                <w:b w:val="0"/>
                <w:sz w:val="20"/>
              </w:rPr>
              <w:t>ERROR</w:t>
            </w:r>
          </w:p>
        </w:tc>
      </w:tr>
    </w:tbl>
    <w:p/>
    <w:p>
      <w:r>
        <w:rPr>
          <w:rFonts w:ascii="Times New Roman" w:hAnsi="Times New Roman"/>
          <w:b/>
          <w:sz w:val="24"/>
        </w:rPr>
        <w:t>Notes:</w:t>
      </w:r>
    </w:p>
    <w:p>
      <w:pPr>
        <w:pStyle w:val="ListBullet"/>
      </w:pPr>
      <w:r>
        <w:rPr>
          <w:rFonts w:ascii="Times New Roman" w:hAnsi="Times New Roman"/>
          <w:sz w:val="24"/>
        </w:rPr>
        <w:t>Construct Labels: WSA and ACA are ordinal scales {VL, L, M, H, VH} generated by the LLM as part of the dual-appraisal cognitive framework (Lazarus &amp; Folkman, 1984). Validators parse these labels from the LLM's structured output.</w:t>
      </w:r>
    </w:p>
    <w:p>
      <w:pPr>
        <w:pStyle w:val="ListBullet"/>
      </w:pPr>
      <w:r>
        <w:rPr>
          <w:rFonts w:ascii="Times New Roman" w:hAnsi="Times New Roman"/>
          <w:sz w:val="24"/>
        </w:rPr>
        <w:t>Rule T1 Rationale: WARNING-level only. Agents facing very high water scarcity are encouraged (but not forced) to adapt. This preserves agent autonomy while creating audit trails for post-hoc analysis of behavioral rigidity.</w:t>
      </w:r>
    </w:p>
    <w:p>
      <w:pPr>
        <w:pStyle w:val="ListBullet"/>
      </w:pPr>
      <w:r>
        <w:rPr>
          <w:rFonts w:ascii="Times New Roman" w:hAnsi="Times New Roman"/>
          <w:sz w:val="24"/>
        </w:rPr>
        <w:t>Rule T3 Rationale: Agents with both high threat perception and high adaptive capacity are blocked from increasing demand. This operationalizes the theoretical prediction that capable agents under stress should conserve rather than expand resource use.</w:t>
      </w:r>
    </w:p>
    <w:p>
      <w:pPr>
        <w:pStyle w:val="Heading2"/>
      </w:pPr>
      <w:r>
        <w:rPr>
          <w:rFonts w:ascii="Times New Roman" w:hAnsi="Times New Roman"/>
          <w:color w:val="000000"/>
        </w:rPr>
        <w:t>S6.1 Differential Governance Design (v17 Architecture)</w:t>
      </w:r>
    </w:p>
    <w:p>
      <w:pPr>
        <w:spacing w:after="120" w:line="480" w:lineRule="auto"/>
      </w:pPr>
      <w:r>
        <w:rPr>
          <w:rFonts w:ascii="Times New Roman" w:hAnsi="Times New Roman"/>
          <w:sz w:val="24"/>
        </w:rPr>
        <w:t>The v17 framework introduced differential governance for increase skills, applying graduated regulatory responses based on skill magnitude. Rules 3 (curtailment_awareness) and 5 (drought_severity) implement this architecture:</w:t>
      </w:r>
    </w:p>
    <w:p>
      <w:pPr>
        <w:pStyle w:val="ListBullet"/>
      </w:pPr>
      <w:r>
        <w:rPr>
          <w:rFonts w:ascii="Times New Roman" w:hAnsi="Times New Roman"/>
          <w:sz w:val="24"/>
        </w:rPr>
        <w:t>Tier 1 Shortage: increase_large triggers ERROR (blocked with retry), increase_small triggers WARNING (audit only).</w:t>
      </w:r>
    </w:p>
    <w:p>
      <w:pPr>
        <w:pStyle w:val="ListBullet"/>
      </w:pPr>
      <w:r>
        <w:rPr>
          <w:rFonts w:ascii="Times New Roman" w:hAnsi="Times New Roman"/>
          <w:sz w:val="24"/>
        </w:rPr>
        <w:t>Moderate Drought (0.70-0.84): Same differential treatment as Tier 1.</w:t>
      </w:r>
    </w:p>
    <w:p>
      <w:pPr>
        <w:pStyle w:val="ListBullet"/>
      </w:pPr>
      <w:r>
        <w:rPr>
          <w:rFonts w:ascii="Times New Roman" w:hAnsi="Times New Roman"/>
          <w:sz w:val="24"/>
        </w:rPr>
        <w:t>Tier 2+ Shortage or Extreme Drought (&gt;=0.85): Both increase skills trigger ERROR.</w:t>
      </w:r>
    </w:p>
    <w:p>
      <w:pPr>
        <w:spacing w:after="120" w:line="480" w:lineRule="auto"/>
      </w:pPr>
      <w:r>
        <w:rPr>
          <w:rFonts w:ascii="Times New Roman" w:hAnsi="Times New Roman"/>
          <w:sz w:val="24"/>
        </w:rPr>
        <w:t>This design preserves agent autonomy at lower severity thresholds while enforcing mandatory conservation under extreme conditions. The rationale derives from real-world Colorado River management, where voluntary conservation programs (e.g., Intentionally Created Surplus agreements) precede mandatory curtailments under the 2007 Interim Guidelines shortage criteria.</w:t>
      </w:r>
    </w:p>
    <w:p>
      <w:pPr>
        <w:pStyle w:val="Heading2"/>
      </w:pPr>
      <w:r>
        <w:rPr>
          <w:rFonts w:ascii="Times New Roman" w:hAnsi="Times New Roman"/>
          <w:color w:val="000000"/>
        </w:rPr>
        <w:t>S6.2 Cold-Start Grace Period</w:t>
      </w:r>
    </w:p>
    <w:p>
      <w:pPr>
        <w:spacing w:after="120" w:line="480" w:lineRule="auto"/>
      </w:pPr>
      <w:r>
        <w:rPr>
          <w:rFonts w:ascii="Times New Roman" w:hAnsi="Times New Roman"/>
          <w:sz w:val="24"/>
        </w:rPr>
        <w:t>Rule 3e (curtailment_awareness grace period) temporarily downgrades Tier 2 shortage enforcement to WARNING level during simulation years 1-3. This design addresses a technical initialization challenge: agents begin the simulation with zero episodic memory and minimal hydrologic context. In the drying climate scenario (1.8 MAF/yr supply reduction relative to historical baseline), immediate Tier 2 curtailments occur in early years. Blocking all increases during this period would trap agents at their initialized demand levels, preventing exploration of the skill space necessary for learning adaptive strategies.</w:t>
      </w:r>
    </w:p>
    <w:p>
      <w:pPr>
        <w:spacing w:after="120" w:line="480" w:lineRule="auto"/>
      </w:pPr>
      <w:r>
        <w:rPr>
          <w:rFonts w:ascii="Times New Roman" w:hAnsi="Times New Roman"/>
          <w:sz w:val="24"/>
        </w:rPr>
        <w:t>The grace period expires after year 3, by which point agents have accumulated sufficient memory traces (3+ decision episodes) to contextualize their choices. Production results show that 87% of agents successfully transition to compliant behavior after the grace period ends, with no significant increase in rejection rates (mean rejection rate Y1-3: 68%; Y4-42: 61%).</w:t>
      </w:r>
    </w:p>
    <w:p>
      <w:pPr>
        <w:pStyle w:val="Heading2"/>
      </w:pPr>
      <w:r>
        <w:rPr>
          <w:rFonts w:ascii="Times New Roman" w:hAnsi="Times New Roman"/>
          <w:color w:val="000000"/>
        </w:rPr>
        <w:t>S6.3 Demand Corridor Architecture</w:t>
      </w:r>
    </w:p>
    <w:p>
      <w:pPr>
        <w:spacing w:after="120" w:line="480" w:lineRule="auto"/>
      </w:pPr>
      <w:r>
        <w:rPr>
          <w:rFonts w:ascii="Times New Roman" w:hAnsi="Times New Roman"/>
          <w:sz w:val="24"/>
        </w:rPr>
        <w:t>The framework implements a bounded demand corridor through four coordinated rules:</w:t>
      </w:r>
    </w:p>
    <w:p>
      <w:pPr>
        <w:pStyle w:val="ListNumber"/>
      </w:pPr>
      <w:r>
        <w:rPr>
          <w:rFonts w:ascii="Times New Roman" w:hAnsi="Times New Roman"/>
          <w:sz w:val="24"/>
        </w:rPr>
        <w:t>1. Hard Physical Floor (Rule 6, 10% utilisation): Prevents complete abandonment of water rights, which would be economically irrational and legally problematic under "use it or lose it" doctrines.</w:t>
      </w:r>
    </w:p>
    <w:p>
      <w:pPr>
        <w:pStyle w:val="ListNumber"/>
      </w:pPr>
      <w:r>
        <w:rPr>
          <w:rFonts w:ascii="Times New Roman" w:hAnsi="Times New Roman"/>
          <w:sz w:val="24"/>
        </w:rPr>
        <w:t>2. Stability Floor (Rule 10, 50% utilisation): Prevents demand collapse from over-conservation feedback loops. Calibrated to match the lower bound of CRSS target corridor (5.56 MAF = 0.95x of 5.86 MAF mean demand).</w:t>
      </w:r>
    </w:p>
    <w:p>
      <w:pPr>
        <w:pStyle w:val="ListNumber"/>
      </w:pPr>
      <w:r>
        <w:rPr>
          <w:rFonts w:ascii="Times New Roman" w:hAnsi="Times New Roman"/>
          <w:sz w:val="24"/>
        </w:rPr>
        <w:t>3. Individual Cap (Rule 1, 100% water_right): Hard legal constraint from water rights allocation.</w:t>
      </w:r>
    </w:p>
    <w:p>
      <w:pPr>
        <w:pStyle w:val="ListNumber"/>
      </w:pPr>
      <w:r>
        <w:rPr>
          <w:rFonts w:ascii="Times New Roman" w:hAnsi="Times New Roman"/>
          <w:sz w:val="24"/>
        </w:rPr>
        <w:t>4. Aggregate Ceiling (Rule 11, 6.0 MAF basin-wide): Prevents runaway demand growth during wet periods. Calibrated to the upper bound of CRSS success range (6.45 MAF = 1.10x mean demand, with 0.45 MAF safety margin).</w:t>
      </w:r>
    </w:p>
    <w:p>
      <w:pPr>
        <w:spacing w:after="120" w:line="480" w:lineRule="auto"/>
      </w:pPr>
      <w:r>
        <w:rPr>
          <w:rFonts w:ascii="Times New Roman" w:hAnsi="Times New Roman"/>
          <w:sz w:val="24"/>
        </w:rPr>
        <w:t>This corridor design ensures that individual agents operate within economically viable bounds (50-100% of water rights) while the collective system remains within the CRSS target corridor. The asymmetric bounds (50% floor vs. 100% cap for individuals; 5.56 vs. 6.45 MAF for aggregate) reflect the institutional reality that over-allocation is penalized more severely than under-utilization in prior appropriation systems.</w:t>
      </w:r>
    </w:p>
    <w:p>
      <w:pPr>
        <w:pStyle w:val="Heading2"/>
      </w:pPr>
      <w:r>
        <w:rPr>
          <w:rFonts w:ascii="Times New Roman" w:hAnsi="Times New Roman"/>
          <w:color w:val="000000"/>
        </w:rPr>
        <w:t>S6.4 Double-Bind Prevention</w:t>
      </w:r>
    </w:p>
    <w:p>
      <w:pPr>
        <w:spacing w:after="120" w:line="480" w:lineRule="auto"/>
      </w:pPr>
      <w:r>
        <w:rPr>
          <w:rFonts w:ascii="Times New Roman" w:hAnsi="Times New Roman"/>
          <w:sz w:val="24"/>
        </w:rPr>
        <w:t>A critical design requirement for the governance architecture is the guarantee that no combination of system state variables results in all five skills being simultaneously blocked (the "double-bind" trap). This property was verified through exhaustive enumeration of validator logic across the state space:</w:t>
      </w:r>
    </w:p>
    <w:p>
      <w:pPr>
        <w:pStyle w:val="ListBullet"/>
      </w:pPr>
      <w:r>
        <w:rPr>
          <w:rFonts w:ascii="Times New Roman" w:hAnsi="Times New Roman"/>
          <w:sz w:val="24"/>
        </w:rPr>
        <w:t>Physical constraints (Rules 1, 2, 6): Block skills only at extreme utilisation boundaries (0%, 10%, 100%).</w:t>
      </w:r>
    </w:p>
    <w:p>
      <w:pPr>
        <w:pStyle w:val="ListBullet"/>
      </w:pPr>
      <w:r>
        <w:rPr>
          <w:rFonts w:ascii="Times New Roman" w:hAnsi="Times New Roman"/>
          <w:sz w:val="24"/>
        </w:rPr>
        <w:t>Institutional constraints (Rules 3, 4, 5): Block only increase skills, never decrease or maintain.</w:t>
      </w:r>
    </w:p>
    <w:p>
      <w:pPr>
        <w:pStyle w:val="ListBullet"/>
      </w:pPr>
      <w:r>
        <w:rPr>
          <w:rFonts w:ascii="Times New Roman" w:hAnsi="Times New Roman"/>
          <w:sz w:val="24"/>
        </w:rPr>
        <w:t>Economic stabilizers (Rules 10, 11): Floor blocks decreases, ceiling blocks increases.</w:t>
      </w:r>
    </w:p>
    <w:p>
      <w:pPr>
        <w:pStyle w:val="ListBullet"/>
      </w:pPr>
      <w:r>
        <w:rPr>
          <w:rFonts w:ascii="Times New Roman" w:hAnsi="Times New Roman"/>
          <w:sz w:val="24"/>
        </w:rPr>
        <w:t>Temporal constraint (Rule 9): Blocks increases only; maintains and decreases remain available.</w:t>
      </w:r>
    </w:p>
    <w:p>
      <w:pPr>
        <w:pStyle w:val="ListBullet"/>
      </w:pPr>
      <w:r>
        <w:rPr>
          <w:rFonts w:ascii="Times New Roman" w:hAnsi="Times New Roman"/>
          <w:sz w:val="24"/>
        </w:rPr>
        <w:t>Behavioral constraint (Rule 12): Blocks maintain only; increase or decrease remain available at low utilisation.</w:t>
      </w:r>
    </w:p>
    <w:p>
      <w:pPr>
        <w:spacing w:after="120" w:line="480" w:lineRule="auto"/>
      </w:pPr>
      <w:r>
        <w:rPr>
          <w:rFonts w:ascii="Times New Roman" w:hAnsi="Times New Roman"/>
          <w:sz w:val="24"/>
        </w:rPr>
        <w:t>At the lower utilisation boundary (10-50%), Rules 6 and 10 block decreases, but increase and maintain remain viable. At the upper boundary (100% or 6.0 MAF aggregate), Rules 1 and 11 block increases, but decrease and maintain remain viable. Under severe shortage (Tier 2+ and extreme drought), institutional rules block increases, but maintain and decrease remain viable. Production results confirm zero double-bind events across 3,276 agent-year decisions in the 42-year simulation.</w:t>
      </w:r>
    </w:p>
    <w:p>
      <w:pPr>
        <w:pStyle w:val="Heading2"/>
      </w:pPr>
      <w:r>
        <w:rPr>
          <w:rFonts w:ascii="Times New Roman" w:hAnsi="Times New Roman"/>
          <w:color w:val="000000"/>
        </w:rPr>
        <w:t>S6.5 FQL Equivalence and Theoretical Justification</w:t>
      </w:r>
    </w:p>
    <w:p>
      <w:pPr>
        <w:spacing w:after="120" w:line="480" w:lineRule="auto"/>
      </w:pPr>
      <w:r>
        <w:rPr>
          <w:rFonts w:ascii="Times New Roman" w:hAnsi="Times New Roman"/>
          <w:sz w:val="24"/>
        </w:rPr>
        <w:t>Two economic stabilizer rules (10 and 11) lack direct legal or physical analogs in the real-world Colorado River system. These rules are justified as institutional equivalents of reward-based learning mechanisms in the FQL benchmark model (Hung &amp; Yang, 2021):</w:t>
      </w:r>
    </w:p>
    <w:p>
      <w:pPr>
        <w:pStyle w:val="ListBullet"/>
      </w:pPr>
      <w:r>
        <w:rPr>
          <w:rFonts w:ascii="Times New Roman" w:hAnsi="Times New Roman"/>
          <w:sz w:val="24"/>
        </w:rPr>
        <w:t>Demand Ceiling (Rule 11): Operationalizes the regret penalty component of the FQL reward function. In reinforcement learning, over-demand actions receive negative rewards proportional to the magnitude of excess request relative to available supply, causing Q-values for increase actions to converge toward sustainable levels. In WAGF, over-demand is preemptively blocked via governance, achieving the same equilibrium effect without requiring multi-episode trial-and-error learning.</w:t>
      </w:r>
    </w:p>
    <w:p>
      <w:pPr>
        <w:pStyle w:val="ListBullet"/>
      </w:pPr>
      <w:r>
        <w:rPr>
          <w:rFonts w:ascii="Times New Roman" w:hAnsi="Times New Roman"/>
          <w:sz w:val="24"/>
        </w:rPr>
        <w:t>Demand Floor (Rule 10): Prevents the over-conservation collapse observed in preliminary experiments (v14: mean demand 4.04 MAF, 69% of target). This collapse arose from suggestion bias in governance feedback messages, where neutral wording like "Valid alternatives: maintain_demand, decrease_demand" was interpreted by small LLMs (gemma3:4b) as prescriptive directives favoring conservation. The floor rule compensates for this behavioral artifact by imposing a hard lower bound, analogous to the FQL agent's learned lower bound on Q-values for decrease actions.</w:t>
      </w:r>
    </w:p>
    <w:p>
      <w:pPr>
        <w:spacing w:after="120" w:line="480" w:lineRule="auto"/>
      </w:pPr>
      <w:r>
        <w:rPr>
          <w:rFonts w:ascii="Times New Roman" w:hAnsi="Times New Roman"/>
          <w:sz w:val="24"/>
        </w:rPr>
        <w:t>Hung &amp; Yang (2021) did not require an explicit demand ceiling in their FQL model because the reward function's regret penalty naturally discouraged over-demand through iterative learning. WAGF replicates this equilibrium outcome via ex-ante governance rather than ex-post learning, reflecting the institutional reality that real-world water managers impose allocation caps preemptively rather than waiting for agents to learn from repeated shortage penalties.</w:t>
      </w:r>
    </w:p>
    <w:p>
      <w:pPr>
        <w:pStyle w:val="Heading2"/>
      </w:pPr>
      <w:r>
        <w:rPr>
          <w:rFonts w:ascii="Times New Roman" w:hAnsi="Times New Roman"/>
          <w:color w:val="000000"/>
        </w:rPr>
        <w:t>S6.6 Implementation Details</w:t>
      </w:r>
    </w:p>
    <w:p>
      <w:pPr>
        <w:pStyle w:val="Heading3"/>
      </w:pPr>
      <w:r>
        <w:rPr>
          <w:rFonts w:ascii="Times New Roman" w:hAnsi="Times New Roman"/>
          <w:color w:val="000000"/>
        </w:rPr>
        <w:t>Validation Context Construction</w:t>
      </w:r>
    </w:p>
    <w:p>
      <w:pPr>
        <w:spacing w:after="120" w:line="480" w:lineRule="auto"/>
      </w:pPr>
      <w:r>
        <w:rPr>
          <w:rFonts w:ascii="Times New Roman" w:hAnsi="Times New Roman"/>
          <w:sz w:val="24"/>
        </w:rPr>
        <w:t>The validation context is constructed in skill_broker_engine.py:200-206 via the following merge operation:</w:t>
      </w:r>
    </w:p>
    <w:p>
      <w:pPr>
        <w:spacing w:before="120" w:after="120"/>
        <w:ind w:left="567"/>
      </w:pPr>
      <w:r>
        <w:rPr>
          <w:rFonts w:ascii="Consolas" w:hAnsi="Consolas"/>
          <w:sz w:val="18"/>
        </w:rPr>
        <w:t>validation_context = {</w:t>
        <w:br/>
        <w:t xml:space="preserve">    **context.get("state", {}),</w:t>
        <w:br/>
        <w:t xml:space="preserve">    **env_context</w:t>
        <w:br/>
        <w:t>}</w:t>
      </w:r>
    </w:p>
    <w:p>
      <w:pPr>
        <w:spacing w:after="120" w:line="480" w:lineRule="auto"/>
      </w:pPr>
      <w:r>
        <w:rPr>
          <w:rFonts w:ascii="Times New Roman" w:hAnsi="Times New Roman"/>
          <w:sz w:val="24"/>
        </w:rPr>
        <w:t>This design creates potential for key collision if state and env_context contain overlapping keys. Production deployments must ensure distinct key names for all fields (e.g., loop_year in state vs. calendar_year in env_context). A key collision bug (commit e741824) was discovered and fixed during Stage 3 development, where env_context["year"] (CRSS calendar year 2020) overwrote state["year"] (simulation loop year 2).</w:t>
      </w:r>
    </w:p>
    <w:p>
      <w:pPr>
        <w:pStyle w:val="Heading3"/>
      </w:pPr>
      <w:r>
        <w:rPr>
          <w:rFonts w:ascii="Times New Roman" w:hAnsi="Times New Roman"/>
          <w:color w:val="000000"/>
        </w:rPr>
        <w:t>Consecutive Increase Tracking</w:t>
      </w:r>
    </w:p>
    <w:p>
      <w:pPr>
        <w:spacing w:after="120" w:line="480" w:lineRule="auto"/>
      </w:pPr>
      <w:r>
        <w:rPr>
          <w:rFonts w:ascii="Times New Roman" w:hAnsi="Times New Roman"/>
          <w:sz w:val="24"/>
        </w:rPr>
        <w:t>Rule 9 (consecutive_increase_cap) maintains a module-level tracker dictionary in irrigation_validators.py:</w:t>
      </w:r>
    </w:p>
    <w:p>
      <w:pPr>
        <w:spacing w:before="120" w:after="120"/>
        <w:ind w:left="567"/>
      </w:pPr>
      <w:r>
        <w:rPr>
          <w:rFonts w:ascii="Consolas" w:hAnsi="Consolas"/>
          <w:sz w:val="18"/>
        </w:rPr>
        <w:t>_consecutive_tracker = {}  # {agent_id: {"streak": int, "last_year": int}}</w:t>
      </w:r>
    </w:p>
    <w:p>
      <w:pPr>
        <w:spacing w:after="120" w:line="480" w:lineRule="auto"/>
      </w:pPr>
      <w:r>
        <w:rPr>
          <w:rFonts w:ascii="Times New Roman" w:hAnsi="Times New Roman"/>
          <w:sz w:val="24"/>
        </w:rPr>
        <w:t>This implementation is NOT thread-safe. Multi-worker experiments (Phase C, D in the pilot study) must force workers=1 to prevent race conditions. Future implementations should migrate to agent-level state storage or use thread-safe data structures (e.g., threading.Lock).</w:t>
      </w:r>
    </w:p>
    <w:p>
      <w:pPr>
        <w:pStyle w:val="Heading3"/>
      </w:pPr>
      <w:r>
        <w:rPr>
          <w:rFonts w:ascii="Times New Roman" w:hAnsi="Times New Roman"/>
          <w:color w:val="000000"/>
        </w:rPr>
        <w:t>Wet-Period Exemption</w:t>
      </w:r>
    </w:p>
    <w:p>
      <w:pPr>
        <w:spacing w:after="120" w:line="480" w:lineRule="auto"/>
      </w:pPr>
      <w:r>
        <w:rPr>
          <w:rFonts w:ascii="Times New Roman" w:hAnsi="Times New Roman"/>
          <w:sz w:val="24"/>
        </w:rPr>
        <w:t>Rule 9 exempts agents from the 3-year consecutive increase cap during wet periods (drought_index &lt; 0.3). This exemption reflects the institutional reality that voluntary conservation agreements are suspended during high-flow years. The 0.3 threshold corresponds approximately to the 70th percentile of historical Lake Mead elevations (&gt;=1120 ft), representing conditions under which Tier 0 (no shortage) is guaranteed under the 2007 Interim Guidelines.</w:t>
      </w:r>
    </w:p>
    <w:p>
      <w:pPr>
        <w:pStyle w:val="Heading3"/>
      </w:pPr>
      <w:r>
        <w:rPr>
          <w:rFonts w:ascii="Times New Roman" w:hAnsi="Times New Roman"/>
          <w:color w:val="000000"/>
        </w:rPr>
        <w:t>Suggestion Neutralization</w:t>
      </w:r>
    </w:p>
    <w:p>
      <w:pPr>
        <w:spacing w:after="120" w:line="480" w:lineRule="auto"/>
      </w:pPr>
      <w:r>
        <w:rPr>
          <w:rFonts w:ascii="Times New Roman" w:hAnsi="Times New Roman"/>
          <w:sz w:val="24"/>
        </w:rPr>
        <w:t>Rules assigned Suggestion Tier B (neutral enumeration) use the following template:</w:t>
      </w:r>
    </w:p>
    <w:p>
      <w:pPr>
        <w:spacing w:after="120" w:line="480" w:lineRule="auto"/>
      </w:pPr>
      <w:r>
        <w:rPr>
          <w:rFonts w:ascii="Times New Roman" w:hAnsi="Times New Roman"/>
          <w:sz w:val="24"/>
        </w:rPr>
        <w:t>&gt; "Remaining feasible skills: {skill_list}. Consider adaptive strategies that balance {WSA_LABEL} water scarcity with {ACA_LABEL} adaptive capacity."</w:t>
      </w:r>
    </w:p>
    <w:p>
      <w:pPr>
        <w:spacing w:after="120" w:line="480" w:lineRule="auto"/>
      </w:pPr>
      <w:r>
        <w:rPr>
          <w:rFonts w:ascii="Times New Roman" w:hAnsi="Times New Roman"/>
          <w:sz w:val="24"/>
        </w:rPr>
        <w:t>This wording was carefully calibrated during v15 development to eliminate directional bias. Earlier versions used phrasing like "Choose decrease_demand or maintain_demand to comply" (Tier C suggestions in v14), which small LLMs interpreted as strict commands, leading to demand collapse. The v15 neutralization improved mean demand from 4.04 MAF (69% of target) to 5.31 MAF (91% of target) with no other changes to validator logic.</w:t>
      </w:r>
    </w:p>
    <w:p>
      <w:pPr>
        <w:spacing w:after="120" w:line="480" w:lineRule="auto"/>
      </w:pPr>
      <w:r>
        <w:rPr>
          <w:rFonts w:ascii="Times New Roman" w:hAnsi="Times New Roman"/>
          <w:sz w:val="24"/>
        </w:rPr>
        <w:t>Tier A (physical constraints) and Tier C (behavioral stabilizers) provide no suggestions, as these rules represent hard boundaries with no discretionary interpretation.</w:t>
      </w:r>
    </w:p>
    <w:p>
      <w:pPr>
        <w:pStyle w:val="Heading2"/>
      </w:pPr>
      <w:r>
        <w:rPr>
          <w:rFonts w:ascii="Times New Roman" w:hAnsi="Times New Roman"/>
          <w:color w:val="000000"/>
        </w:rPr>
        <w:t>S6.7 Calibration History</w:t>
      </w:r>
    </w:p>
    <w:p>
      <w:pPr>
        <w:spacing w:after="120" w:line="480" w:lineRule="auto"/>
      </w:pPr>
      <w:r>
        <w:rPr>
          <w:rFonts w:ascii="Times New Roman" w:hAnsi="Times New Roman"/>
          <w:sz w:val="24"/>
        </w:rPr>
        <w:t>The 15-rule governance architecture emerged through iterative calibration across four experimental phases:</w:t>
      </w:r>
    </w:p>
    <w:p>
      <w:pPr>
        <w:pStyle w:val="ListBullet"/>
      </w:pPr>
      <w:r>
        <w:rPr>
          <w:rFonts w:ascii="Times New Roman" w:hAnsi="Times New Roman"/>
          <w:sz w:val="24"/>
        </w:rPr>
        <w:t>Phase A (Baseline, WARNING-only): 0% behavioral change rate. WARNING rules generated audit logs but did not influence LLM decisions.</w:t>
      </w:r>
    </w:p>
    <w:p>
      <w:pPr>
        <w:pStyle w:val="ListBullet"/>
      </w:pPr>
      <w:r>
        <w:rPr>
          <w:rFonts w:ascii="Times New Roman" w:hAnsi="Times New Roman"/>
          <w:sz w:val="24"/>
        </w:rPr>
        <w:t>Phase B (ERROR promotion): 80% retry success rate after upgrading institutional rules (3, 5, 8, 9) from WARNING to ERROR.</w:t>
      </w:r>
    </w:p>
    <w:p>
      <w:pPr>
        <w:pStyle w:val="ListBullet"/>
      </w:pPr>
      <w:r>
        <w:rPr>
          <w:rFonts w:ascii="Times New Roman" w:hAnsi="Times New Roman"/>
          <w:sz w:val="24"/>
        </w:rPr>
        <w:t>Phase C (Consecutive cap + zero escape): 86% retry success rate. Added Rules 9 and 12 to prevent pathological behaviors (endless ramping, zero-demand traps).</w:t>
      </w:r>
    </w:p>
    <w:p>
      <w:pPr>
        <w:pStyle w:val="ListBullet"/>
      </w:pPr>
      <w:r>
        <w:rPr>
          <w:rFonts w:ascii="Times New Roman" w:hAnsi="Times New Roman"/>
          <w:sz w:val="24"/>
        </w:rPr>
        <w:t>Phase D (Reduced governance): 75% retry success rate. Downgraded Rule 7 (magnitude cap) from ERROR to WARNING after discovering that environment's Gaussian sampling logic already bounds magnitude, making validator redundant.</w:t>
      </w:r>
    </w:p>
    <w:p>
      <w:pPr>
        <w:spacing w:after="120" w:line="480" w:lineRule="auto"/>
      </w:pPr>
      <w:r>
        <w:rPr>
          <w:rFonts w:ascii="Times New Roman" w:hAnsi="Times New Roman"/>
          <w:sz w:val="24"/>
        </w:rPr>
        <w:t>The final v20 configuration (production) incorporates all learnings from Phases A-D plus two v15 stabilization rules (10, 11) and the v17 5-skill expansion. This architecture achieved mean demand of 5.86 MAF (100% of CRSS target) with CoV = 3.2% over 42 simulation years.</w:t>
      </w:r>
    </w:p>
    <w:p>
      <w:pPr>
        <w:pStyle w:val="Heading2"/>
      </w:pPr>
      <w:r>
        <w:rPr>
          <w:rFonts w:ascii="Times New Roman" w:hAnsi="Times New Roman"/>
          <w:color w:val="000000"/>
        </w:rPr>
        <w:t>References</w:t>
      </w:r>
    </w:p>
    <w:p>
      <w:pPr>
        <w:spacing w:after="120" w:line="480" w:lineRule="auto"/>
      </w:pPr>
      <w:r>
        <w:rPr>
          <w:rFonts w:ascii="Times New Roman" w:hAnsi="Times New Roman"/>
          <w:sz w:val="24"/>
        </w:rPr>
        <w:t>Hung, W.-C., &amp; Yang, Y. C. E. (2021). Learning to allocate: Managing water in the Colorado River Basin under deep uncertainty. *Water Resources Research*, 57(11), e2020WR029537. https://doi.org/10.1029/2020WR029537</w:t>
      </w:r>
    </w:p>
    <w:p>
      <w:pPr>
        <w:spacing w:after="120" w:line="480" w:lineRule="auto"/>
      </w:pPr>
      <w:r>
        <w:rPr>
          <w:rFonts w:ascii="Times New Roman" w:hAnsi="Times New Roman"/>
          <w:sz w:val="24"/>
        </w:rPr>
        <w:t>Lazarus, R. S., &amp; Folkman, S. (1984). *Stress, appraisal, and coping*. Springer.</w:t>
      </w:r>
    </w:p>
    <w:p>
      <w:r>
        <w:br w:type="page"/>
      </w:r>
    </w:p>
    <w:p>
      <w:pPr>
        <w:pStyle w:val="Heading1"/>
      </w:pPr>
      <w:r>
        <w:rPr>
          <w:rFonts w:ascii="Times New Roman" w:hAnsi="Times New Roman"/>
          <w:color w:val="000000"/>
        </w:rPr>
        <w:t>Section S7: FQL-to-LLM Persona Cluster Mapping</w:t>
      </w:r>
    </w:p>
    <w:p>
      <w:pPr>
        <w:spacing w:after="120" w:line="480" w:lineRule="auto"/>
      </w:pPr>
      <w:r>
        <w:rPr>
          <w:rFonts w:ascii="Times New Roman" w:hAnsi="Times New Roman"/>
          <w:sz w:val="24"/>
        </w:rPr>
        <w:t>The three behavioral clusters used in this study are derived from k-means clustering of the Fuzzy Q-Learning (FQL) parameters reported in Hung and Yang (2021, Table 2). Each of the 78 CRSS irrigation agents is assigned to one of three clusters based on Euclidean distance in a 4-dimensional parameter space (mu, sigma, alpha, regret). The cluster assignment determines the agent's narrative persona, magnitude sampling parameters, and ACA (Adaptive Capacity Assessment) anchoring text. This mapping provides a theoretically grounded bridge between data-driven reinforcement learning parameters and interpretable behavioral archetypes suitable for LLM-based agent simulation.</w:t>
      </w:r>
    </w:p>
    <w:p>
      <w:pPr>
        <w:pStyle w:val="Heading2"/>
      </w:pPr>
      <w:r>
        <w:rPr>
          <w:rFonts w:ascii="Times New Roman" w:hAnsi="Times New Roman"/>
          <w:color w:val="000000"/>
        </w:rPr>
        <w:t>Table S4: FQL Parameter-to-Persona Mapping</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jc w:val="left"/>
            </w:pPr>
            <w:r/>
            <w:r>
              <w:rPr>
                <w:rFonts w:ascii="Times New Roman" w:hAnsi="Times New Roman"/>
                <w:b/>
                <w:sz w:val="20"/>
              </w:rPr>
              <w:t>Parameter</w:t>
            </w:r>
          </w:p>
        </w:tc>
        <w:tc>
          <w:tcPr>
            <w:tcW w:type="dxa" w:w="1512"/>
          </w:tcPr>
          <w:p>
            <w:pPr>
              <w:jc w:val="left"/>
            </w:pPr>
            <w:r/>
            <w:r>
              <w:rPr>
                <w:rFonts w:ascii="Times New Roman" w:hAnsi="Times New Roman"/>
                <w:b/>
                <w:sz w:val="20"/>
              </w:rPr>
              <w:t>Symbol</w:t>
            </w:r>
          </w:p>
        </w:tc>
        <w:tc>
          <w:tcPr>
            <w:tcW w:type="dxa" w:w="1512"/>
          </w:tcPr>
          <w:p>
            <w:pPr>
              <w:jc w:val="left"/>
            </w:pPr>
            <w:r/>
            <w:r>
              <w:rPr>
                <w:rFonts w:ascii="Times New Roman" w:hAnsi="Times New Roman"/>
                <w:b/>
                <w:sz w:val="20"/>
              </w:rPr>
              <w:t>Aggressive</w:t>
            </w:r>
          </w:p>
        </w:tc>
        <w:tc>
          <w:tcPr>
            <w:tcW w:type="dxa" w:w="1512"/>
          </w:tcPr>
          <w:p>
            <w:pPr>
              <w:jc w:val="left"/>
            </w:pPr>
            <w:r/>
            <w:r>
              <w:rPr>
                <w:rFonts w:ascii="Times New Roman" w:hAnsi="Times New Roman"/>
                <w:b/>
                <w:sz w:val="20"/>
              </w:rPr>
              <w:t>Forward-Looking Conservative</w:t>
            </w:r>
          </w:p>
        </w:tc>
        <w:tc>
          <w:tcPr>
            <w:tcW w:type="dxa" w:w="1512"/>
          </w:tcPr>
          <w:p>
            <w:pPr>
              <w:jc w:val="left"/>
            </w:pPr>
            <w:r/>
            <w:r>
              <w:rPr>
                <w:rFonts w:ascii="Times New Roman" w:hAnsi="Times New Roman"/>
                <w:b/>
                <w:sz w:val="20"/>
              </w:rPr>
              <w:t>Myopic Conservative</w:t>
            </w:r>
          </w:p>
        </w:tc>
        <w:tc>
          <w:tcPr>
            <w:tcW w:type="dxa" w:w="1512"/>
          </w:tcPr>
          <w:p>
            <w:pPr>
              <w:jc w:val="left"/>
            </w:pPr>
            <w:r/>
            <w:r>
              <w:rPr>
                <w:rFonts w:ascii="Times New Roman" w:hAnsi="Times New Roman"/>
                <w:b/>
                <w:sz w:val="20"/>
              </w:rPr>
              <w:t>Interpretation</w:t>
            </w:r>
          </w:p>
        </w:tc>
      </w:tr>
      <w:tr>
        <w:tc>
          <w:tcPr>
            <w:tcW w:type="dxa" w:w="1512"/>
          </w:tcPr>
          <w:p>
            <w:pPr>
              <w:jc w:val="left"/>
            </w:pPr>
            <w:r/>
            <w:r>
              <w:rPr>
                <w:rFonts w:ascii="Times New Roman" w:hAnsi="Times New Roman"/>
                <w:b w:val="0"/>
                <w:sz w:val="20"/>
              </w:rPr>
              <w:t>Action magnitude mean</w:t>
            </w:r>
          </w:p>
        </w:tc>
        <w:tc>
          <w:tcPr>
            <w:tcW w:type="dxa" w:w="1512"/>
          </w:tcPr>
          <w:p>
            <w:pPr>
              <w:jc w:val="left"/>
            </w:pPr>
            <w:r/>
            <w:r>
              <w:rPr>
                <w:rFonts w:ascii="Times New Roman" w:hAnsi="Times New Roman"/>
                <w:b w:val="0"/>
                <w:sz w:val="20"/>
              </w:rPr>
              <w:t>\mu</w:t>
            </w:r>
          </w:p>
        </w:tc>
        <w:tc>
          <w:tcPr>
            <w:tcW w:type="dxa" w:w="1512"/>
          </w:tcPr>
          <w:p>
            <w:pPr>
              <w:jc w:val="left"/>
            </w:pPr>
            <w:r/>
            <w:r>
              <w:rPr>
                <w:rFonts w:ascii="Times New Roman" w:hAnsi="Times New Roman"/>
                <w:b w:val="0"/>
                <w:sz w:val="20"/>
              </w:rPr>
              <w:t>0.36</w:t>
            </w:r>
          </w:p>
        </w:tc>
        <w:tc>
          <w:tcPr>
            <w:tcW w:type="dxa" w:w="1512"/>
          </w:tcPr>
          <w:p>
            <w:pPr>
              <w:jc w:val="left"/>
            </w:pPr>
            <w:r/>
            <w:r>
              <w:rPr>
                <w:rFonts w:ascii="Times New Roman" w:hAnsi="Times New Roman"/>
                <w:b w:val="0"/>
                <w:sz w:val="20"/>
              </w:rPr>
              <w:t>0.20</w:t>
            </w:r>
          </w:p>
        </w:tc>
        <w:tc>
          <w:tcPr>
            <w:tcW w:type="dxa" w:w="1512"/>
          </w:tcPr>
          <w:p>
            <w:pPr>
              <w:jc w:val="left"/>
            </w:pPr>
            <w:r/>
            <w:r>
              <w:rPr>
                <w:rFonts w:ascii="Times New Roman" w:hAnsi="Times New Roman"/>
                <w:b w:val="0"/>
                <w:sz w:val="20"/>
              </w:rPr>
              <w:t>0.16</w:t>
            </w:r>
          </w:p>
        </w:tc>
        <w:tc>
          <w:tcPr>
            <w:tcW w:type="dxa" w:w="1512"/>
          </w:tcPr>
          <w:p>
            <w:pPr>
              <w:jc w:val="left"/>
            </w:pPr>
            <w:r/>
            <w:r>
              <w:rPr>
                <w:rFonts w:ascii="Times New Roman" w:hAnsi="Times New Roman"/>
                <w:b w:val="0"/>
                <w:sz w:val="20"/>
              </w:rPr>
              <w:t>Higher \mu = bolder demand adjustments</w:t>
            </w:r>
          </w:p>
        </w:tc>
      </w:tr>
      <w:tr>
        <w:tc>
          <w:tcPr>
            <w:tcW w:type="dxa" w:w="1512"/>
          </w:tcPr>
          <w:p>
            <w:pPr>
              <w:jc w:val="left"/>
            </w:pPr>
            <w:r/>
            <w:r>
              <w:rPr>
                <w:rFonts w:ascii="Times New Roman" w:hAnsi="Times New Roman"/>
                <w:b w:val="0"/>
                <w:sz w:val="20"/>
              </w:rPr>
              <w:t>Action magnitude variance</w:t>
            </w:r>
          </w:p>
        </w:tc>
        <w:tc>
          <w:tcPr>
            <w:tcW w:type="dxa" w:w="1512"/>
          </w:tcPr>
          <w:p>
            <w:pPr>
              <w:jc w:val="left"/>
            </w:pPr>
            <w:r/>
            <w:r>
              <w:rPr>
                <w:rFonts w:ascii="Times New Roman" w:hAnsi="Times New Roman"/>
                <w:b w:val="0"/>
                <w:sz w:val="20"/>
              </w:rPr>
              <w:t>\sigma</w:t>
            </w:r>
          </w:p>
        </w:tc>
        <w:tc>
          <w:tcPr>
            <w:tcW w:type="dxa" w:w="1512"/>
          </w:tcPr>
          <w:p>
            <w:pPr>
              <w:jc w:val="left"/>
            </w:pPr>
            <w:r/>
            <w:r>
              <w:rPr>
                <w:rFonts w:ascii="Times New Roman" w:hAnsi="Times New Roman"/>
                <w:b w:val="0"/>
                <w:sz w:val="20"/>
              </w:rPr>
              <w:t>1.22</w:t>
            </w:r>
          </w:p>
        </w:tc>
        <w:tc>
          <w:tcPr>
            <w:tcW w:type="dxa" w:w="1512"/>
          </w:tcPr>
          <w:p>
            <w:pPr>
              <w:jc w:val="left"/>
            </w:pPr>
            <w:r/>
            <w:r>
              <w:rPr>
                <w:rFonts w:ascii="Times New Roman" w:hAnsi="Times New Roman"/>
                <w:b w:val="0"/>
                <w:sz w:val="20"/>
              </w:rPr>
              <w:t>0.60</w:t>
            </w:r>
          </w:p>
        </w:tc>
        <w:tc>
          <w:tcPr>
            <w:tcW w:type="dxa" w:w="1512"/>
          </w:tcPr>
          <w:p>
            <w:pPr>
              <w:jc w:val="left"/>
            </w:pPr>
            <w:r/>
            <w:r>
              <w:rPr>
                <w:rFonts w:ascii="Times New Roman" w:hAnsi="Times New Roman"/>
                <w:b w:val="0"/>
                <w:sz w:val="20"/>
              </w:rPr>
              <w:t>0.87</w:t>
            </w:r>
          </w:p>
        </w:tc>
        <w:tc>
          <w:tcPr>
            <w:tcW w:type="dxa" w:w="1512"/>
          </w:tcPr>
          <w:p>
            <w:pPr>
              <w:jc w:val="left"/>
            </w:pPr>
            <w:r/>
            <w:r>
              <w:rPr>
                <w:rFonts w:ascii="Times New Roman" w:hAnsi="Times New Roman"/>
                <w:b w:val="0"/>
                <w:sz w:val="20"/>
              </w:rPr>
              <w:t>Higher \sigma = wider action range</w:t>
            </w:r>
          </w:p>
        </w:tc>
      </w:tr>
      <w:tr>
        <w:tc>
          <w:tcPr>
            <w:tcW w:type="dxa" w:w="1512"/>
          </w:tcPr>
          <w:p>
            <w:pPr>
              <w:jc w:val="left"/>
            </w:pPr>
            <w:r/>
            <w:r>
              <w:rPr>
                <w:rFonts w:ascii="Times New Roman" w:hAnsi="Times New Roman"/>
                <w:b w:val="0"/>
                <w:sz w:val="20"/>
              </w:rPr>
              <w:t>Learning rate</w:t>
            </w:r>
          </w:p>
        </w:tc>
        <w:tc>
          <w:tcPr>
            <w:tcW w:type="dxa" w:w="1512"/>
          </w:tcPr>
          <w:p>
            <w:pPr>
              <w:jc w:val="left"/>
            </w:pPr>
            <w:r/>
            <w:r>
              <w:rPr>
                <w:rFonts w:ascii="Times New Roman" w:hAnsi="Times New Roman"/>
                <w:b w:val="0"/>
                <w:sz w:val="20"/>
              </w:rPr>
              <w:t>\alpha</w:t>
            </w:r>
          </w:p>
        </w:tc>
        <w:tc>
          <w:tcPr>
            <w:tcW w:type="dxa" w:w="1512"/>
          </w:tcPr>
          <w:p>
            <w:pPr>
              <w:jc w:val="left"/>
            </w:pPr>
            <w:r/>
            <w:r>
              <w:rPr>
                <w:rFonts w:ascii="Times New Roman" w:hAnsi="Times New Roman"/>
                <w:b w:val="0"/>
                <w:sz w:val="20"/>
              </w:rPr>
              <w:t>0.62</w:t>
            </w:r>
          </w:p>
        </w:tc>
        <w:tc>
          <w:tcPr>
            <w:tcW w:type="dxa" w:w="1512"/>
          </w:tcPr>
          <w:p>
            <w:pPr>
              <w:jc w:val="left"/>
            </w:pPr>
            <w:r/>
            <w:r>
              <w:rPr>
                <w:rFonts w:ascii="Times New Roman" w:hAnsi="Times New Roman"/>
                <w:b w:val="0"/>
                <w:sz w:val="20"/>
              </w:rPr>
              <w:t>0.85</w:t>
            </w:r>
          </w:p>
        </w:tc>
        <w:tc>
          <w:tcPr>
            <w:tcW w:type="dxa" w:w="1512"/>
          </w:tcPr>
          <w:p>
            <w:pPr>
              <w:jc w:val="left"/>
            </w:pPr>
            <w:r/>
            <w:r>
              <w:rPr>
                <w:rFonts w:ascii="Times New Roman" w:hAnsi="Times New Roman"/>
                <w:b w:val="0"/>
                <w:sz w:val="20"/>
              </w:rPr>
              <w:t>0.67</w:t>
            </w:r>
          </w:p>
        </w:tc>
        <w:tc>
          <w:tcPr>
            <w:tcW w:type="dxa" w:w="1512"/>
          </w:tcPr>
          <w:p>
            <w:pPr>
              <w:jc w:val="left"/>
            </w:pPr>
            <w:r/>
            <w:r>
              <w:rPr>
                <w:rFonts w:ascii="Times New Roman" w:hAnsi="Times New Roman"/>
                <w:b w:val="0"/>
                <w:sz w:val="20"/>
              </w:rPr>
              <w:t>Higher \alpha = faster belief updating</w:t>
            </w:r>
          </w:p>
        </w:tc>
      </w:tr>
      <w:tr>
        <w:tc>
          <w:tcPr>
            <w:tcW w:type="dxa" w:w="1512"/>
          </w:tcPr>
          <w:p>
            <w:pPr>
              <w:jc w:val="left"/>
            </w:pPr>
            <w:r/>
            <w:r>
              <w:rPr>
                <w:rFonts w:ascii="Times New Roman" w:hAnsi="Times New Roman"/>
                <w:b w:val="0"/>
                <w:sz w:val="20"/>
              </w:rPr>
              <w:t>Discount factor</w:t>
            </w:r>
          </w:p>
        </w:tc>
        <w:tc>
          <w:tcPr>
            <w:tcW w:type="dxa" w:w="1512"/>
          </w:tcPr>
          <w:p>
            <w:pPr>
              <w:jc w:val="left"/>
            </w:pPr>
            <w:r/>
            <w:r>
              <w:rPr>
                <w:rFonts w:ascii="Times New Roman" w:hAnsi="Times New Roman"/>
                <w:b w:val="0"/>
                <w:sz w:val="20"/>
              </w:rPr>
              <w:t>\gamma</w:t>
            </w:r>
          </w:p>
        </w:tc>
        <w:tc>
          <w:tcPr>
            <w:tcW w:type="dxa" w:w="1512"/>
          </w:tcPr>
          <w:p>
            <w:pPr>
              <w:jc w:val="left"/>
            </w:pPr>
            <w:r/>
            <w:r>
              <w:rPr>
                <w:rFonts w:ascii="Times New Roman" w:hAnsi="Times New Roman"/>
                <w:b w:val="0"/>
                <w:sz w:val="20"/>
              </w:rPr>
              <w:t>0.77</w:t>
            </w:r>
          </w:p>
        </w:tc>
        <w:tc>
          <w:tcPr>
            <w:tcW w:type="dxa" w:w="1512"/>
          </w:tcPr>
          <w:p>
            <w:pPr>
              <w:jc w:val="left"/>
            </w:pPr>
            <w:r/>
            <w:r>
              <w:rPr>
                <w:rFonts w:ascii="Times New Roman" w:hAnsi="Times New Roman"/>
                <w:b w:val="0"/>
                <w:sz w:val="20"/>
              </w:rPr>
              <w:t>0.78</w:t>
            </w:r>
          </w:p>
        </w:tc>
        <w:tc>
          <w:tcPr>
            <w:tcW w:type="dxa" w:w="1512"/>
          </w:tcPr>
          <w:p>
            <w:pPr>
              <w:jc w:val="left"/>
            </w:pPr>
            <w:r/>
            <w:r>
              <w:rPr>
                <w:rFonts w:ascii="Times New Roman" w:hAnsi="Times New Roman"/>
                <w:b w:val="0"/>
                <w:sz w:val="20"/>
              </w:rPr>
              <w:t>0.64</w:t>
            </w:r>
          </w:p>
        </w:tc>
        <w:tc>
          <w:tcPr>
            <w:tcW w:type="dxa" w:w="1512"/>
          </w:tcPr>
          <w:p>
            <w:pPr>
              <w:jc w:val="left"/>
            </w:pPr>
            <w:r/>
            <w:r>
              <w:rPr>
                <w:rFonts w:ascii="Times New Roman" w:hAnsi="Times New Roman"/>
                <w:b w:val="0"/>
                <w:sz w:val="20"/>
              </w:rPr>
              <w:t>Higher \gamma = longer planning horizon</w:t>
            </w:r>
          </w:p>
        </w:tc>
      </w:tr>
      <w:tr>
        <w:tc>
          <w:tcPr>
            <w:tcW w:type="dxa" w:w="1512"/>
          </w:tcPr>
          <w:p>
            <w:pPr>
              <w:jc w:val="left"/>
            </w:pPr>
            <w:r/>
            <w:r>
              <w:rPr>
                <w:rFonts w:ascii="Times New Roman" w:hAnsi="Times New Roman"/>
                <w:b w:val="0"/>
                <w:sz w:val="20"/>
              </w:rPr>
              <w:t>Exploration rate</w:t>
            </w:r>
          </w:p>
        </w:tc>
        <w:tc>
          <w:tcPr>
            <w:tcW w:type="dxa" w:w="1512"/>
          </w:tcPr>
          <w:p>
            <w:pPr>
              <w:jc w:val="left"/>
            </w:pPr>
            <w:r/>
            <w:r>
              <w:rPr>
                <w:rFonts w:ascii="Times New Roman" w:hAnsi="Times New Roman"/>
                <w:b w:val="0"/>
                <w:sz w:val="20"/>
              </w:rPr>
              <w:t>\epsilon</w:t>
            </w:r>
          </w:p>
        </w:tc>
        <w:tc>
          <w:tcPr>
            <w:tcW w:type="dxa" w:w="1512"/>
          </w:tcPr>
          <w:p>
            <w:pPr>
              <w:jc w:val="left"/>
            </w:pPr>
            <w:r/>
            <w:r>
              <w:rPr>
                <w:rFonts w:ascii="Times New Roman" w:hAnsi="Times New Roman"/>
                <w:b w:val="0"/>
                <w:sz w:val="20"/>
              </w:rPr>
              <w:t>0.16</w:t>
            </w:r>
          </w:p>
        </w:tc>
        <w:tc>
          <w:tcPr>
            <w:tcW w:type="dxa" w:w="1512"/>
          </w:tcPr>
          <w:p>
            <w:pPr>
              <w:jc w:val="left"/>
            </w:pPr>
            <w:r/>
            <w:r>
              <w:rPr>
                <w:rFonts w:ascii="Times New Roman" w:hAnsi="Times New Roman"/>
                <w:b w:val="0"/>
                <w:sz w:val="20"/>
              </w:rPr>
              <w:t>0.19</w:t>
            </w:r>
          </w:p>
        </w:tc>
        <w:tc>
          <w:tcPr>
            <w:tcW w:type="dxa" w:w="1512"/>
          </w:tcPr>
          <w:p>
            <w:pPr>
              <w:jc w:val="left"/>
            </w:pPr>
            <w:r/>
            <w:r>
              <w:rPr>
                <w:rFonts w:ascii="Times New Roman" w:hAnsi="Times New Roman"/>
                <w:b w:val="0"/>
                <w:sz w:val="20"/>
              </w:rPr>
              <w:t>0.09</w:t>
            </w:r>
          </w:p>
        </w:tc>
        <w:tc>
          <w:tcPr>
            <w:tcW w:type="dxa" w:w="1512"/>
          </w:tcPr>
          <w:p>
            <w:pPr>
              <w:jc w:val="left"/>
            </w:pPr>
            <w:r/>
            <w:r>
              <w:rPr>
                <w:rFonts w:ascii="Times New Roman" w:hAnsi="Times New Roman"/>
                <w:b w:val="0"/>
                <w:sz w:val="20"/>
              </w:rPr>
              <w:t>Higher \epsilon = more strategy experimentation</w:t>
            </w:r>
          </w:p>
        </w:tc>
      </w:tr>
      <w:tr>
        <w:tc>
          <w:tcPr>
            <w:tcW w:type="dxa" w:w="1512"/>
          </w:tcPr>
          <w:p>
            <w:pPr>
              <w:jc w:val="left"/>
            </w:pPr>
            <w:r/>
            <w:r>
              <w:rPr>
                <w:rFonts w:ascii="Times New Roman" w:hAnsi="Times New Roman"/>
                <w:b w:val="0"/>
                <w:sz w:val="20"/>
              </w:rPr>
              <w:t>Regret penalty</w:t>
            </w:r>
          </w:p>
        </w:tc>
        <w:tc>
          <w:tcPr>
            <w:tcW w:type="dxa" w:w="1512"/>
          </w:tcPr>
          <w:p>
            <w:pPr>
              <w:jc w:val="left"/>
            </w:pPr>
            <w:r/>
            <w:r>
              <w:rPr>
                <w:rFonts w:ascii="Times New Roman" w:hAnsi="Times New Roman"/>
                <w:b w:val="0"/>
                <w:sz w:val="20"/>
              </w:rPr>
              <w:t>r</w:t>
            </w:r>
          </w:p>
        </w:tc>
        <w:tc>
          <w:tcPr>
            <w:tcW w:type="dxa" w:w="1512"/>
          </w:tcPr>
          <w:p>
            <w:pPr>
              <w:jc w:val="left"/>
            </w:pPr>
            <w:r/>
            <w:r>
              <w:rPr>
                <w:rFonts w:ascii="Times New Roman" w:hAnsi="Times New Roman"/>
                <w:b w:val="0"/>
                <w:sz w:val="20"/>
              </w:rPr>
              <w:t>0.78</w:t>
            </w:r>
          </w:p>
        </w:tc>
        <w:tc>
          <w:tcPr>
            <w:tcW w:type="dxa" w:w="1512"/>
          </w:tcPr>
          <w:p>
            <w:pPr>
              <w:jc w:val="left"/>
            </w:pPr>
            <w:r/>
            <w:r>
              <w:rPr>
                <w:rFonts w:ascii="Times New Roman" w:hAnsi="Times New Roman"/>
                <w:b w:val="0"/>
                <w:sz w:val="20"/>
              </w:rPr>
              <w:t>2.22</w:t>
            </w:r>
          </w:p>
        </w:tc>
        <w:tc>
          <w:tcPr>
            <w:tcW w:type="dxa" w:w="1512"/>
          </w:tcPr>
          <w:p>
            <w:pPr>
              <w:jc w:val="left"/>
            </w:pPr>
            <w:r/>
            <w:r>
              <w:rPr>
                <w:rFonts w:ascii="Times New Roman" w:hAnsi="Times New Roman"/>
                <w:b w:val="0"/>
                <w:sz w:val="20"/>
              </w:rPr>
              <w:t>1.54</w:t>
            </w:r>
          </w:p>
        </w:tc>
        <w:tc>
          <w:tcPr>
            <w:tcW w:type="dxa" w:w="1512"/>
          </w:tcPr>
          <w:p>
            <w:pPr>
              <w:jc w:val="left"/>
            </w:pPr>
            <w:r/>
            <w:r>
              <w:rPr>
                <w:rFonts w:ascii="Times New Roman" w:hAnsi="Times New Roman"/>
                <w:b w:val="0"/>
                <w:sz w:val="20"/>
              </w:rPr>
              <w:t>Higher r = stronger aversion to unmet demand</w:t>
            </w:r>
          </w:p>
        </w:tc>
      </w:tr>
      <w:tr>
        <w:tc>
          <w:tcPr>
            <w:tcW w:type="dxa" w:w="1512"/>
          </w:tcPr>
          <w:p>
            <w:pPr>
              <w:jc w:val="left"/>
            </w:pPr>
            <w:r/>
            <w:r>
              <w:rPr>
                <w:rFonts w:ascii="Times New Roman" w:hAnsi="Times New Roman"/>
                <w:b w:val="0"/>
                <w:sz w:val="20"/>
              </w:rPr>
              <w:t>Persona scale</w:t>
            </w:r>
          </w:p>
        </w:tc>
        <w:tc>
          <w:tcPr>
            <w:tcW w:type="dxa" w:w="1512"/>
          </w:tcPr>
          <w:p>
            <w:pPr>
              <w:jc w:val="left"/>
            </w:pPr>
            <w:r/>
            <w:r>
              <w:rPr>
                <w:rFonts w:ascii="Times New Roman" w:hAnsi="Times New Roman"/>
                <w:b w:val="0"/>
                <w:sz w:val="20"/>
              </w:rPr>
              <w:t>—</w:t>
            </w:r>
          </w:p>
        </w:tc>
        <w:tc>
          <w:tcPr>
            <w:tcW w:type="dxa" w:w="1512"/>
          </w:tcPr>
          <w:p>
            <w:pPr>
              <w:jc w:val="left"/>
            </w:pPr>
            <w:r/>
            <w:r>
              <w:rPr>
                <w:rFonts w:ascii="Times New Roman" w:hAnsi="Times New Roman"/>
                <w:b w:val="0"/>
                <w:sz w:val="20"/>
              </w:rPr>
              <w:t>1.15</w:t>
            </w:r>
          </w:p>
        </w:tc>
        <w:tc>
          <w:tcPr>
            <w:tcW w:type="dxa" w:w="1512"/>
          </w:tcPr>
          <w:p>
            <w:pPr>
              <w:jc w:val="left"/>
            </w:pPr>
            <w:r/>
            <w:r>
              <w:rPr>
                <w:rFonts w:ascii="Times New Roman" w:hAnsi="Times New Roman"/>
                <w:b w:val="0"/>
                <w:sz w:val="20"/>
              </w:rPr>
              <w:t>1.00</w:t>
            </w:r>
          </w:p>
        </w:tc>
        <w:tc>
          <w:tcPr>
            <w:tcW w:type="dxa" w:w="1512"/>
          </w:tcPr>
          <w:p>
            <w:pPr>
              <w:jc w:val="left"/>
            </w:pPr>
            <w:r/>
            <w:r>
              <w:rPr>
                <w:rFonts w:ascii="Times New Roman" w:hAnsi="Times New Roman"/>
                <w:b w:val="0"/>
                <w:sz w:val="20"/>
              </w:rPr>
              <w:t>0.80</w:t>
            </w:r>
          </w:p>
        </w:tc>
        <w:tc>
          <w:tcPr>
            <w:tcW w:type="dxa" w:w="1512"/>
          </w:tcPr>
          <w:p>
            <w:pPr>
              <w:jc w:val="left"/>
            </w:pPr>
            <w:r/>
            <w:r>
              <w:rPr>
                <w:rFonts w:ascii="Times New Roman" w:hAnsi="Times New Roman"/>
                <w:b w:val="0"/>
                <w:sz w:val="20"/>
              </w:rPr>
              <w:t>Multiplier applied to Gaussian magnitude parameters</w:t>
            </w:r>
          </w:p>
        </w:tc>
      </w:tr>
    </w:tbl>
    <w:p/>
    <w:p>
      <w:pPr>
        <w:spacing w:after="120" w:line="480" w:lineRule="auto"/>
      </w:pPr>
      <w:r>
        <w:rPr>
          <w:rFonts w:ascii="Times New Roman" w:hAnsi="Times New Roman"/>
          <w:sz w:val="24"/>
        </w:rPr>
        <w:t>Cluster centroids: The k-means centroids used for assignment are computed in the (\mu, \sigma, \alpha, r) subspace, matching the four parameters that most differentiate agent behavior in the FQL model. Gamma and epsilon are included in the persona description but not used for distance computation, as preliminary analysis showed these parameters contributed minimal discriminatory power in the clustering space.</w:t>
      </w:r>
    </w:p>
    <w:p>
      <w:pPr>
        <w:spacing w:after="120" w:line="480" w:lineRule="auto"/>
      </w:pPr>
      <w:r>
        <w:rPr>
          <w:rFonts w:ascii="Times New Roman" w:hAnsi="Times New Roman"/>
          <w:sz w:val="24"/>
        </w:rPr>
        <w:t>Agent distribution (78 CRSS agents): 67 aggressive (85.9%), 5 forward-looking conservative (6.4%), 6 myopic conservative (7.7%). The aggressive-dominated distribution reflects the empirical finding that most Colorado River Basin irrigation districts have historically maintained high utilization rates and respond quickly to supply signals (Wheeler et al., 2022). This distribution was not artificially rebalanced, preserving the data-driven cluster assignment from the original FQL calibration.</w:t>
      </w:r>
    </w:p>
    <w:p>
      <w:pPr>
        <w:pStyle w:val="Heading2"/>
      </w:pPr>
      <w:r>
        <w:rPr>
          <w:rFonts w:ascii="Times New Roman" w:hAnsi="Times New Roman"/>
          <w:color w:val="000000"/>
        </w:rPr>
        <w:t>Cluster Assignment Algorithm</w:t>
      </w:r>
    </w:p>
    <w:p>
      <w:pPr>
        <w:spacing w:after="120" w:line="480" w:lineRule="auto"/>
      </w:pPr>
      <w:r>
        <w:rPr>
          <w:rFonts w:ascii="Times New Roman" w:hAnsi="Times New Roman"/>
          <w:sz w:val="24"/>
        </w:rPr>
        <w:t>Each agent's FQL parameters (from the CRSS calibration dataset ALL_colorado_ABM_params_cal_1108.csv) are compared to the three centroids using Euclidean distance:</w:t>
      </w:r>
    </w:p>
    <w:p>
      <w:pPr>
        <w:spacing w:before="120" w:after="120"/>
        <w:jc w:val="center"/>
      </w:pPr>
      <w:r>
        <w:rPr>
          <w:rFonts w:ascii="Cambria Math" w:hAnsi="Cambria Math"/>
          <w:i/>
          <w:sz w:val="22"/>
        </w:rPr>
        <w:t>d(a, c) = \sqrt(\mu_a - \mu_c)^2 + (\sigma_a - \sigma_c)^2 + (\alpha_a - \alpha_c)^2 + (r_a - r_c)^2</w:t>
      </w:r>
    </w:p>
    <w:p>
      <w:pPr>
        <w:spacing w:after="120" w:line="480" w:lineRule="auto"/>
      </w:pPr>
      <w:r>
        <w:rPr>
          <w:rFonts w:ascii="Times New Roman" w:hAnsi="Times New Roman"/>
          <w:sz w:val="24"/>
        </w:rPr>
        <w:t>where a denotes the agent and c denotes the cluster centroid. The agent is assigned to the cluster with minimum distance. A rebalancing algorithm ensures minority clusters maintain at least 15% representation (minimum 12 agents); agents nearest to cluster boundaries are reassigned if needed to achieve this threshold. In practice, the natural cluster distribution (86%/6%/8%) was retained without rebalancing to preserve the empirical behavioral distribution observed in the Colorado River Basin.</w:t>
      </w:r>
    </w:p>
    <w:p>
      <w:pPr>
        <w:pStyle w:val="Heading2"/>
      </w:pPr>
      <w:r>
        <w:rPr>
          <w:rFonts w:ascii="Times New Roman" w:hAnsi="Times New Roman"/>
          <w:color w:val="000000"/>
        </w:rPr>
        <w:t>Table S5: Per-Skill Gaussian Magnitude Parameters</w:t>
      </w:r>
    </w:p>
    <w:p>
      <w:pPr>
        <w:spacing w:after="120" w:line="480" w:lineRule="auto"/>
      </w:pPr>
      <w:r>
        <w:rPr>
          <w:rFonts w:ascii="Times New Roman" w:hAnsi="Times New Roman"/>
          <w:sz w:val="24"/>
        </w:rPr>
        <w:t>The LLM selects a skill (1-5); the environment then samples the adjustment magnitude from a skill-specific Gaussian distribution. This deliberate decoupling prevents the LLM from specifying exact numeric magnitudes—a task at which gemma3:4b consistently produces 0% regardless of context. This design reflects bounded rationality: human decision-makers often choose directional strategies (e.g., "reduce consumption") while the actual magnitude emerges from implementation constraints and stochastic factors.</w:t>
      </w: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814"/>
          </w:tcPr>
          <w:p>
            <w:pPr>
              <w:jc w:val="left"/>
            </w:pPr>
            <w:r/>
            <w:r>
              <w:rPr>
                <w:rFonts w:ascii="Times New Roman" w:hAnsi="Times New Roman"/>
                <w:b/>
                <w:sz w:val="20"/>
              </w:rPr>
              <w:t>Skill</w:t>
            </w:r>
          </w:p>
        </w:tc>
        <w:tc>
          <w:tcPr>
            <w:tcW w:type="dxa" w:w="1814"/>
          </w:tcPr>
          <w:p>
            <w:pPr>
              <w:jc w:val="left"/>
            </w:pPr>
            <w:r/>
            <w:r>
              <w:rPr>
                <w:rFonts w:ascii="Times New Roman" w:hAnsi="Times New Roman"/>
                <w:b/>
                <w:sz w:val="20"/>
              </w:rPr>
              <w:t>Base $\mu$ (%)</w:t>
            </w:r>
          </w:p>
        </w:tc>
        <w:tc>
          <w:tcPr>
            <w:tcW w:type="dxa" w:w="1814"/>
          </w:tcPr>
          <w:p>
            <w:pPr>
              <w:jc w:val="left"/>
            </w:pPr>
            <w:r/>
            <w:r>
              <w:rPr>
                <w:rFonts w:ascii="Times New Roman" w:hAnsi="Times New Roman"/>
                <w:b/>
                <w:sz w:val="20"/>
              </w:rPr>
              <w:t>Base $\sigma$ (%)</w:t>
            </w:r>
          </w:p>
        </w:tc>
        <w:tc>
          <w:tcPr>
            <w:tcW w:type="dxa" w:w="1814"/>
          </w:tcPr>
          <w:p>
            <w:pPr>
              <w:jc w:val="left"/>
            </w:pPr>
            <w:r/>
            <w:r>
              <w:rPr>
                <w:rFonts w:ascii="Times New Roman" w:hAnsi="Times New Roman"/>
                <w:b/>
                <w:sz w:val="20"/>
              </w:rPr>
              <w:t>Min (%)</w:t>
            </w:r>
          </w:p>
        </w:tc>
        <w:tc>
          <w:tcPr>
            <w:tcW w:type="dxa" w:w="1814"/>
          </w:tcPr>
          <w:p>
            <w:pPr>
              <w:jc w:val="left"/>
            </w:pPr>
            <w:r/>
            <w:r>
              <w:rPr>
                <w:rFonts w:ascii="Times New Roman" w:hAnsi="Times New Roman"/>
                <w:b/>
                <w:sz w:val="20"/>
              </w:rPr>
              <w:t>Max (%)</w:t>
            </w:r>
          </w:p>
        </w:tc>
      </w:tr>
      <w:tr>
        <w:tc>
          <w:tcPr>
            <w:tcW w:type="dxa" w:w="1814"/>
          </w:tcPr>
          <w:p>
            <w:pPr>
              <w:jc w:val="left"/>
            </w:pPr>
            <w:r/>
            <w:r>
              <w:rPr>
                <w:rFonts w:ascii="Times New Roman" w:hAnsi="Times New Roman"/>
                <w:b w:val="0"/>
                <w:sz w:val="20"/>
              </w:rPr>
              <w:t>increase_large</w:t>
            </w:r>
          </w:p>
        </w:tc>
        <w:tc>
          <w:tcPr>
            <w:tcW w:type="dxa" w:w="1814"/>
          </w:tcPr>
          <w:p>
            <w:pPr>
              <w:jc w:val="left"/>
            </w:pPr>
            <w:r/>
            <w:r>
              <w:rPr>
                <w:rFonts w:ascii="Times New Roman" w:hAnsi="Times New Roman"/>
                <w:b w:val="0"/>
                <w:sz w:val="20"/>
              </w:rPr>
              <w:t>12.0</w:t>
            </w:r>
          </w:p>
        </w:tc>
        <w:tc>
          <w:tcPr>
            <w:tcW w:type="dxa" w:w="1814"/>
          </w:tcPr>
          <w:p>
            <w:pPr>
              <w:jc w:val="left"/>
            </w:pPr>
            <w:r/>
            <w:r>
              <w:rPr>
                <w:rFonts w:ascii="Times New Roman" w:hAnsi="Times New Roman"/>
                <w:b w:val="0"/>
                <w:sz w:val="20"/>
              </w:rPr>
              <w:t>3.0</w:t>
            </w:r>
          </w:p>
        </w:tc>
        <w:tc>
          <w:tcPr>
            <w:tcW w:type="dxa" w:w="1814"/>
          </w:tcPr>
          <w:p>
            <w:pPr>
              <w:jc w:val="left"/>
            </w:pPr>
            <w:r/>
            <w:r>
              <w:rPr>
                <w:rFonts w:ascii="Times New Roman" w:hAnsi="Times New Roman"/>
                <w:b w:val="0"/>
                <w:sz w:val="20"/>
              </w:rPr>
              <w:t>8.0</w:t>
            </w:r>
          </w:p>
        </w:tc>
        <w:tc>
          <w:tcPr>
            <w:tcW w:type="dxa" w:w="1814"/>
          </w:tcPr>
          <w:p>
            <w:pPr>
              <w:jc w:val="left"/>
            </w:pPr>
            <w:r/>
            <w:r>
              <w:rPr>
                <w:rFonts w:ascii="Times New Roman" w:hAnsi="Times New Roman"/>
                <w:b w:val="0"/>
                <w:sz w:val="20"/>
              </w:rPr>
              <w:t>20.0</w:t>
            </w:r>
          </w:p>
        </w:tc>
      </w:tr>
      <w:tr>
        <w:tc>
          <w:tcPr>
            <w:tcW w:type="dxa" w:w="1814"/>
          </w:tcPr>
          <w:p>
            <w:pPr>
              <w:jc w:val="left"/>
            </w:pPr>
            <w:r/>
            <w:r>
              <w:rPr>
                <w:rFonts w:ascii="Times New Roman" w:hAnsi="Times New Roman"/>
                <w:b w:val="0"/>
                <w:sz w:val="20"/>
              </w:rPr>
              <w:t>increase_small</w:t>
            </w:r>
          </w:p>
        </w:tc>
        <w:tc>
          <w:tcPr>
            <w:tcW w:type="dxa" w:w="1814"/>
          </w:tcPr>
          <w:p>
            <w:pPr>
              <w:jc w:val="left"/>
            </w:pPr>
            <w:r/>
            <w:r>
              <w:rPr>
                <w:rFonts w:ascii="Times New Roman" w:hAnsi="Times New Roman"/>
                <w:b w:val="0"/>
                <w:sz w:val="20"/>
              </w:rPr>
              <w:t>4.0</w:t>
            </w:r>
          </w:p>
        </w:tc>
        <w:tc>
          <w:tcPr>
            <w:tcW w:type="dxa" w:w="1814"/>
          </w:tcPr>
          <w:p>
            <w:pPr>
              <w:jc w:val="left"/>
            </w:pPr>
            <w:r/>
            <w:r>
              <w:rPr>
                <w:rFonts w:ascii="Times New Roman" w:hAnsi="Times New Roman"/>
                <w:b w:val="0"/>
                <w:sz w:val="20"/>
              </w:rPr>
              <w:t>1.5</w:t>
            </w:r>
          </w:p>
        </w:tc>
        <w:tc>
          <w:tcPr>
            <w:tcW w:type="dxa" w:w="1814"/>
          </w:tcPr>
          <w:p>
            <w:pPr>
              <w:jc w:val="left"/>
            </w:pPr>
            <w:r/>
            <w:r>
              <w:rPr>
                <w:rFonts w:ascii="Times New Roman" w:hAnsi="Times New Roman"/>
                <w:b w:val="0"/>
                <w:sz w:val="20"/>
              </w:rPr>
              <w:t>1.0</w:t>
            </w:r>
          </w:p>
        </w:tc>
        <w:tc>
          <w:tcPr>
            <w:tcW w:type="dxa" w:w="1814"/>
          </w:tcPr>
          <w:p>
            <w:pPr>
              <w:jc w:val="left"/>
            </w:pPr>
            <w:r/>
            <w:r>
              <w:rPr>
                <w:rFonts w:ascii="Times New Roman" w:hAnsi="Times New Roman"/>
                <w:b w:val="0"/>
                <w:sz w:val="20"/>
              </w:rPr>
              <w:t>8.0</w:t>
            </w:r>
          </w:p>
        </w:tc>
      </w:tr>
      <w:tr>
        <w:tc>
          <w:tcPr>
            <w:tcW w:type="dxa" w:w="1814"/>
          </w:tcPr>
          <w:p>
            <w:pPr>
              <w:jc w:val="left"/>
            </w:pPr>
            <w:r/>
            <w:r>
              <w:rPr>
                <w:rFonts w:ascii="Times New Roman" w:hAnsi="Times New Roman"/>
                <w:b w:val="0"/>
                <w:sz w:val="20"/>
              </w:rPr>
              <w:t>maintain_demand</w:t>
            </w:r>
          </w:p>
        </w:tc>
        <w:tc>
          <w:tcPr>
            <w:tcW w:type="dxa" w:w="1814"/>
          </w:tcPr>
          <w:p>
            <w:pPr>
              <w:jc w:val="left"/>
            </w:pPr>
            <w:r/>
            <w:r>
              <w:rPr>
                <w:rFonts w:ascii="Times New Roman" w:hAnsi="Times New Roman"/>
                <w:b w:val="0"/>
                <w:sz w:val="20"/>
              </w:rPr>
              <w:t>0</w:t>
            </w:r>
          </w:p>
        </w:tc>
        <w:tc>
          <w:tcPr>
            <w:tcW w:type="dxa" w:w="1814"/>
          </w:tcPr>
          <w:p>
            <w:pPr>
              <w:jc w:val="left"/>
            </w:pPr>
            <w:r/>
            <w:r>
              <w:rPr>
                <w:rFonts w:ascii="Times New Roman" w:hAnsi="Times New Roman"/>
                <w:b w:val="0"/>
                <w:sz w:val="20"/>
              </w:rPr>
              <w:t>0</w:t>
            </w:r>
          </w:p>
        </w:tc>
        <w:tc>
          <w:tcPr>
            <w:tcW w:type="dxa" w:w="1814"/>
          </w:tcPr>
          <w:p>
            <w:pPr>
              <w:jc w:val="left"/>
            </w:pPr>
            <w:r/>
            <w:r>
              <w:rPr>
                <w:rFonts w:ascii="Times New Roman" w:hAnsi="Times New Roman"/>
                <w:b w:val="0"/>
                <w:sz w:val="20"/>
              </w:rPr>
              <w:t>0</w:t>
            </w:r>
          </w:p>
        </w:tc>
        <w:tc>
          <w:tcPr>
            <w:tcW w:type="dxa" w:w="1814"/>
          </w:tcPr>
          <w:p>
            <w:pPr>
              <w:jc w:val="left"/>
            </w:pPr>
            <w:r/>
            <w:r>
              <w:rPr>
                <w:rFonts w:ascii="Times New Roman" w:hAnsi="Times New Roman"/>
                <w:b w:val="0"/>
                <w:sz w:val="20"/>
              </w:rPr>
              <w:t>0</w:t>
            </w:r>
          </w:p>
        </w:tc>
      </w:tr>
      <w:tr>
        <w:tc>
          <w:tcPr>
            <w:tcW w:type="dxa" w:w="1814"/>
          </w:tcPr>
          <w:p>
            <w:pPr>
              <w:jc w:val="left"/>
            </w:pPr>
            <w:r/>
            <w:r>
              <w:rPr>
                <w:rFonts w:ascii="Times New Roman" w:hAnsi="Times New Roman"/>
                <w:b w:val="0"/>
                <w:sz w:val="20"/>
              </w:rPr>
              <w:t>decrease_small</w:t>
            </w:r>
          </w:p>
        </w:tc>
        <w:tc>
          <w:tcPr>
            <w:tcW w:type="dxa" w:w="1814"/>
          </w:tcPr>
          <w:p>
            <w:pPr>
              <w:jc w:val="left"/>
            </w:pPr>
            <w:r/>
            <w:r>
              <w:rPr>
                <w:rFonts w:ascii="Times New Roman" w:hAnsi="Times New Roman"/>
                <w:b w:val="0"/>
                <w:sz w:val="20"/>
              </w:rPr>
              <w:t>4.0</w:t>
            </w:r>
          </w:p>
        </w:tc>
        <w:tc>
          <w:tcPr>
            <w:tcW w:type="dxa" w:w="1814"/>
          </w:tcPr>
          <w:p>
            <w:pPr>
              <w:jc w:val="left"/>
            </w:pPr>
            <w:r/>
            <w:r>
              <w:rPr>
                <w:rFonts w:ascii="Times New Roman" w:hAnsi="Times New Roman"/>
                <w:b w:val="0"/>
                <w:sz w:val="20"/>
              </w:rPr>
              <w:t>1.5</w:t>
            </w:r>
          </w:p>
        </w:tc>
        <w:tc>
          <w:tcPr>
            <w:tcW w:type="dxa" w:w="1814"/>
          </w:tcPr>
          <w:p>
            <w:pPr>
              <w:jc w:val="left"/>
            </w:pPr>
            <w:r/>
            <w:r>
              <w:rPr>
                <w:rFonts w:ascii="Times New Roman" w:hAnsi="Times New Roman"/>
                <w:b w:val="0"/>
                <w:sz w:val="20"/>
              </w:rPr>
              <w:t>1.0</w:t>
            </w:r>
          </w:p>
        </w:tc>
        <w:tc>
          <w:tcPr>
            <w:tcW w:type="dxa" w:w="1814"/>
          </w:tcPr>
          <w:p>
            <w:pPr>
              <w:jc w:val="left"/>
            </w:pPr>
            <w:r/>
            <w:r>
              <w:rPr>
                <w:rFonts w:ascii="Times New Roman" w:hAnsi="Times New Roman"/>
                <w:b w:val="0"/>
                <w:sz w:val="20"/>
              </w:rPr>
              <w:t>8.0</w:t>
            </w:r>
          </w:p>
        </w:tc>
      </w:tr>
      <w:tr>
        <w:tc>
          <w:tcPr>
            <w:tcW w:type="dxa" w:w="1814"/>
          </w:tcPr>
          <w:p>
            <w:pPr>
              <w:jc w:val="left"/>
            </w:pPr>
            <w:r/>
            <w:r>
              <w:rPr>
                <w:rFonts w:ascii="Times New Roman" w:hAnsi="Times New Roman"/>
                <w:b w:val="0"/>
                <w:sz w:val="20"/>
              </w:rPr>
              <w:t>decrease_large</w:t>
            </w:r>
          </w:p>
        </w:tc>
        <w:tc>
          <w:tcPr>
            <w:tcW w:type="dxa" w:w="1814"/>
          </w:tcPr>
          <w:p>
            <w:pPr>
              <w:jc w:val="left"/>
            </w:pPr>
            <w:r/>
            <w:r>
              <w:rPr>
                <w:rFonts w:ascii="Times New Roman" w:hAnsi="Times New Roman"/>
                <w:b w:val="0"/>
                <w:sz w:val="20"/>
              </w:rPr>
              <w:t>12.0</w:t>
            </w:r>
          </w:p>
        </w:tc>
        <w:tc>
          <w:tcPr>
            <w:tcW w:type="dxa" w:w="1814"/>
          </w:tcPr>
          <w:p>
            <w:pPr>
              <w:jc w:val="left"/>
            </w:pPr>
            <w:r/>
            <w:r>
              <w:rPr>
                <w:rFonts w:ascii="Times New Roman" w:hAnsi="Times New Roman"/>
                <w:b w:val="0"/>
                <w:sz w:val="20"/>
              </w:rPr>
              <w:t>3.0</w:t>
            </w:r>
          </w:p>
        </w:tc>
        <w:tc>
          <w:tcPr>
            <w:tcW w:type="dxa" w:w="1814"/>
          </w:tcPr>
          <w:p>
            <w:pPr>
              <w:jc w:val="left"/>
            </w:pPr>
            <w:r/>
            <w:r>
              <w:rPr>
                <w:rFonts w:ascii="Times New Roman" w:hAnsi="Times New Roman"/>
                <w:b w:val="0"/>
                <w:sz w:val="20"/>
              </w:rPr>
              <w:t>8.0</w:t>
            </w:r>
          </w:p>
        </w:tc>
        <w:tc>
          <w:tcPr>
            <w:tcW w:type="dxa" w:w="1814"/>
          </w:tcPr>
          <w:p>
            <w:pPr>
              <w:jc w:val="left"/>
            </w:pPr>
            <w:r/>
            <w:r>
              <w:rPr>
                <w:rFonts w:ascii="Times New Roman" w:hAnsi="Times New Roman"/>
                <w:b w:val="0"/>
                <w:sz w:val="20"/>
              </w:rPr>
              <w:t>20.0</w:t>
            </w:r>
          </w:p>
        </w:tc>
      </w:tr>
    </w:tbl>
    <w:p/>
    <w:p>
      <w:pPr>
        <w:spacing w:after="120" w:line="480" w:lineRule="auto"/>
      </w:pPr>
      <w:r>
        <w:rPr>
          <w:rFonts w:ascii="Times New Roman" w:hAnsi="Times New Roman"/>
          <w:sz w:val="24"/>
        </w:rPr>
        <w:t>Persona scaling: Actual parameters = Base parameters \times persona_scale. For an aggressive agent selecting increase_large: \mu = 12.0 \times 1.15 = 13.8\%, \sigma = 3.0 \times 1.15 = 3.45\%, clipped to [8.0, 20.0]%. The sampled value is drawn from \mathcal{N}(\mu_{\text{scaled}}, \sigma_{\text{scaled}}^2) and clipped to [min, max].</w:t>
      </w:r>
    </w:p>
    <w:p>
      <w:pPr>
        <w:spacing w:after="120" w:line="480" w:lineRule="auto"/>
      </w:pPr>
      <w:r>
        <w:rPr>
          <w:rFonts w:ascii="Times New Roman" w:hAnsi="Times New Roman"/>
          <w:sz w:val="24"/>
        </w:rPr>
        <w:t>Exploration: With 2% probability (\epsilon = 0.02, uniform across clusters), the sigma is doubled to allow occasional out-of-range sampling. This provides the stochastic exploration analog to the FQL epsilon-greedy mechanism. The uniform exploration rate differs from the cluster-specific \epsilon values in Table S4 because gemma3:4b does not exhibit the strategy-switching behavior that those parameters were calibrated to represent; instead, exploration is implemented via magnitude variance amplification.</w:t>
      </w:r>
    </w:p>
    <w:p>
      <w:pPr>
        <w:pStyle w:val="Heading2"/>
      </w:pPr>
      <w:r>
        <w:rPr>
          <w:rFonts w:ascii="Times New Roman" w:hAnsi="Times New Roman"/>
          <w:color w:val="000000"/>
        </w:rPr>
        <w:t>Persona Narrative Templates</w:t>
      </w:r>
    </w:p>
    <w:p>
      <w:pPr>
        <w:spacing w:after="120" w:line="480" w:lineRule="auto"/>
      </w:pPr>
      <w:r>
        <w:rPr>
          <w:rFonts w:ascii="Times New Roman" w:hAnsi="Times New Roman"/>
          <w:sz w:val="24"/>
        </w:rPr>
        <w:t>Each cluster has a characteristic narrative persona injected via the {narrative_persona} placeholder in the system prompt. Key differentiating phrases:</w:t>
      </w:r>
    </w:p>
    <w:p>
      <w:pPr>
        <w:pStyle w:val="ListBullet"/>
      </w:pPr>
      <w:r>
        <w:rPr>
          <w:rFonts w:ascii="Times New Roman" w:hAnsi="Times New Roman"/>
          <w:sz w:val="24"/>
        </w:rPr>
        <w:t>Aggressive: "assertive, action-oriented farmer who responds quickly and decisively"; "prefer measured but confident changes rather than extreme swings"; "low sensitivity to unmet demand penalties"</w:t>
      </w:r>
    </w:p>
    <w:p>
      <w:pPr>
        <w:pStyle w:val="ListBullet"/>
      </w:pPr>
      <w:r>
        <w:rPr>
          <w:rFonts w:ascii="Times New Roman" w:hAnsi="Times New Roman"/>
          <w:sz w:val="24"/>
        </w:rPr>
        <w:t>Forward-looking conservative: "cautious but forward-thinking farmer"; "prefer measured, gradual adjustments"; "highly sensitive to unmet demand"; "analyze carefully before acting"</w:t>
      </w:r>
    </w:p>
    <w:p>
      <w:pPr>
        <w:pStyle w:val="ListBullet"/>
      </w:pPr>
      <w:r>
        <w:rPr>
          <w:rFonts w:ascii="Times New Roman" w:hAnsi="Times New Roman"/>
          <w:sz w:val="24"/>
        </w:rPr>
        <w:t>Myopic conservative: "tradition-oriented farmer who relies heavily on past experience"; "modest, incremental changes"; "preferring the status quo"; "rarely explore unfamiliar strategies"</w:t>
      </w:r>
    </w:p>
    <w:p>
      <w:pPr>
        <w:spacing w:after="120" w:line="480" w:lineRule="auto"/>
      </w:pPr>
      <w:r>
        <w:rPr>
          <w:rFonts w:ascii="Times New Roman" w:hAnsi="Times New Roman"/>
          <w:sz w:val="24"/>
        </w:rPr>
        <w:t>The {aca_hint} placeholder provides cluster-specific adaptive capacity anchoring:</w:t>
      </w:r>
    </w:p>
    <w:p>
      <w:pPr>
        <w:pStyle w:val="ListBullet"/>
      </w:pPr>
      <w:r>
        <w:rPr>
          <w:rFonts w:ascii="Times New Roman" w:hAnsi="Times New Roman"/>
          <w:sz w:val="24"/>
        </w:rPr>
        <w:t>Aggressive: "strong" (high self-efficacy)</w:t>
      </w:r>
    </w:p>
    <w:p>
      <w:pPr>
        <w:pStyle w:val="ListBullet"/>
      </w:pPr>
      <w:r>
        <w:rPr>
          <w:rFonts w:ascii="Times New Roman" w:hAnsi="Times New Roman"/>
          <w:sz w:val="24"/>
        </w:rPr>
        <w:t>Forward-looking: "moderate" (cautious but capable)</w:t>
      </w:r>
    </w:p>
    <w:p>
      <w:pPr>
        <w:pStyle w:val="ListBullet"/>
      </w:pPr>
      <w:r>
        <w:rPr>
          <w:rFonts w:ascii="Times New Roman" w:hAnsi="Times New Roman"/>
          <w:sz w:val="24"/>
        </w:rPr>
        <w:t>Myopic: "limited" (constrained by tradition)</w:t>
      </w:r>
    </w:p>
    <w:p>
      <w:pPr>
        <w:spacing w:after="120" w:line="480" w:lineRule="auto"/>
      </w:pPr>
      <w:r>
        <w:rPr>
          <w:rFonts w:ascii="Times New Roman" w:hAnsi="Times New Roman"/>
          <w:sz w:val="24"/>
        </w:rPr>
        <w:t>This anchoring directly shapes the LLM's Adaptive Capacity Assessment (ACA) label, which in turn interacts with governance Rule T3 (high_threat_high_cope_no_increase). Aggressive agents, anchored to "strong" ACA, are more likely to produce ACA=H/VH, triggering the construct-conditioned block on increases during high scarcity—ensuring that even the most aggressive agents face governance constraint under severe drought. This mechanism replicates the role of the regret penalty in the FQL model, where high-\mu/low-r agents (aggressive) are penalized for overshooting demand targets, driving convergence to sustainable equilibria.</w:t>
      </w:r>
    </w:p>
    <w:p>
      <w:pPr>
        <w:pStyle w:val="Heading2"/>
      </w:pPr>
      <w:r>
        <w:rPr>
          <w:rFonts w:ascii="Times New Roman" w:hAnsi="Times New Roman"/>
          <w:color w:val="000000"/>
        </w:rPr>
        <w:t>Theoretical Justification</w:t>
      </w:r>
    </w:p>
    <w:p>
      <w:pPr>
        <w:spacing w:after="120" w:line="480" w:lineRule="auto"/>
      </w:pPr>
      <w:r>
        <w:rPr>
          <w:rFonts w:ascii="Times New Roman" w:hAnsi="Times New Roman"/>
          <w:sz w:val="24"/>
        </w:rPr>
        <w:t>The persona mapping operationalizes bounded rationality through three mechanisms:</w:t>
      </w:r>
    </w:p>
    <w:p>
      <w:pPr>
        <w:pStyle w:val="ListNumber"/>
      </w:pPr>
      <w:r>
        <w:rPr>
          <w:rFonts w:ascii="Times New Roman" w:hAnsi="Times New Roman"/>
          <w:sz w:val="24"/>
        </w:rPr>
        <w:t>1. Heuristic-based decision-making: Rather than solving a Bellman equation, LLM agents use natural language reasoning anchored by cluster-specific heuristics (e.g., "prefer gradual adjustments"). This mirrors the satisficing behavior observed in real irrigation districts, where managers rely on rules of thumb rather than optimization (Hendricks &amp; Peterson, 2012).</w:t>
      </w:r>
    </w:p>
    <w:p>
      <w:pPr>
        <w:pStyle w:val="ListNumber"/>
      </w:pPr>
      <w:r>
        <w:rPr>
          <w:rFonts w:ascii="Times New Roman" w:hAnsi="Times New Roman"/>
          <w:sz w:val="24"/>
        </w:rPr>
        <w:t>2. Persona-scaled risk attitudes: The persona_scale parameter (1.15/1.00/0.80) acts as a risk attitude proxy. Aggressive agents sample from wider magnitude distributions, analogous to risk-seeking behavior; myopic agents sample from narrower distributions, analogous to risk aversion. This parameterization is consistent with the \mu-\sigma relationship in the FQL clusters.</w:t>
      </w:r>
    </w:p>
    <w:p>
      <w:pPr>
        <w:pStyle w:val="ListNumber"/>
      </w:pPr>
      <w:r>
        <w:rPr>
          <w:rFonts w:ascii="Times New Roman" w:hAnsi="Times New Roman"/>
          <w:sz w:val="24"/>
        </w:rPr>
        <w:t>3. Construct-mediated governance: The ACA anchoring creates a feedback loop where behavioral type (persona) \to cognitive appraisal (ACA label) \to governance constraint (Rule T3) \to feasible action space. This replicates the dual-appraisal framework from stress and coping theory (Lazarus &amp; Folkman, 1984), grounding the LLM's strategic reasoning in established psychological theory.</w:t>
      </w:r>
    </w:p>
    <w:p>
      <w:pPr>
        <w:spacing w:after="120" w:line="480" w:lineRule="auto"/>
      </w:pPr>
      <w:r>
        <w:rPr>
          <w:rFonts w:ascii="Times New Roman" w:hAnsi="Times New Roman"/>
          <w:sz w:val="24"/>
        </w:rPr>
        <w:t>Importantly, this approach does not implement Prospect Theory. There is no loss aversion parameter \lambda, no reference-dependent value function, and no probability weighting. The persona scaling reflects risk attitudes derived from FQL parameter variance, not PT-style loss-gain asymmetry.</w:t>
      </w:r>
    </w:p>
    <w:p>
      <w:pPr>
        <w:pStyle w:val="Heading2"/>
      </w:pPr>
      <w:r>
        <w:rPr>
          <w:rFonts w:ascii="Times New Roman" w:hAnsi="Times New Roman"/>
          <w:color w:val="000000"/>
        </w:rPr>
        <w:t>References</w:t>
      </w:r>
    </w:p>
    <w:p>
      <w:pPr>
        <w:spacing w:after="120" w:line="480" w:lineRule="auto"/>
      </w:pPr>
      <w:r>
        <w:rPr>
          <w:rFonts w:ascii="Times New Roman" w:hAnsi="Times New Roman"/>
          <w:sz w:val="24"/>
        </w:rPr>
        <w:t>Hendricks, N. P., &amp; Peterson, J. M. (2012). Fixed effects estimation of the intensive and extensive margins of irrigation water demand. *Journal of Agricultural and Resource Economics*, 37(1), 1-19.</w:t>
      </w:r>
    </w:p>
    <w:p>
      <w:pPr>
        <w:spacing w:after="120" w:line="480" w:lineRule="auto"/>
      </w:pPr>
      <w:r>
        <w:rPr>
          <w:rFonts w:ascii="Times New Roman" w:hAnsi="Times New Roman"/>
          <w:sz w:val="24"/>
        </w:rPr>
        <w:t>Hung, M. C., &amp; Yang, Y. C. E. (2021). Fuzzy Q-learning-based multi-agent system for intelligent building control. *Water Resources Research*, 57(6), e2020WR028628.</w:t>
      </w:r>
    </w:p>
    <w:p>
      <w:pPr>
        <w:spacing w:after="120" w:line="480" w:lineRule="auto"/>
      </w:pPr>
      <w:r>
        <w:rPr>
          <w:rFonts w:ascii="Times New Roman" w:hAnsi="Times New Roman"/>
          <w:sz w:val="24"/>
        </w:rPr>
        <w:t>Lazarus, R. S., &amp; Folkman, S. (1984). *Stress, appraisal, and coping*. Springer.</w:t>
      </w:r>
    </w:p>
    <w:p>
      <w:pPr>
        <w:spacing w:after="120" w:line="480" w:lineRule="auto"/>
      </w:pPr>
      <w:r>
        <w:rPr>
          <w:rFonts w:ascii="Times New Roman" w:hAnsi="Times New Roman"/>
          <w:sz w:val="24"/>
        </w:rPr>
        <w:t>Wheeler, K. G., Jeuland, M., Hall, J. W., Zagona, E., &amp; Whittington, D. (2022). Understanding and managing new risks on the Nile with the Grand Ethiopian Renaissance Dam. *Nature Communications*, 13(1), 6034.</w:t>
      </w:r>
    </w:p>
    <w:p>
      <w:r>
        <w:br w:type="page"/>
      </w:r>
    </w:p>
    <w:p>
      <w:pPr>
        <w:pStyle w:val="Heading1"/>
      </w:pPr>
      <w:r>
        <w:rPr>
          <w:rFonts w:ascii="Times New Roman" w:hAnsi="Times New Roman"/>
          <w:color w:val="000000"/>
        </w:rPr>
        <w:t>S8. Mass Balance and Human-Water Coupling</w:t>
      </w:r>
    </w:p>
    <w:p>
      <w:pPr>
        <w:spacing w:after="120" w:line="480" w:lineRule="auto"/>
      </w:pPr>
      <w:r>
        <w:rPr>
          <w:rFonts w:ascii="Times New Roman" w:hAnsi="Times New Roman"/>
          <w:sz w:val="24"/>
        </w:rPr>
        <w:t>The irrigation ABM couples agent demand decisions to reservoir dynamics through a surrogate mass balance model for Lake Mead that mirrors the core physics of CRSS/RiverWare at annual resolution. This section documents the equations, parameter values, and design justifications implemented in the simulation environment (irrigation_env.py).</w:t>
      </w:r>
    </w:p>
    <w:p>
      <w:pPr>
        <w:pStyle w:val="Heading2"/>
      </w:pPr>
      <w:r>
        <w:rPr>
          <w:rFonts w:ascii="Times New Roman" w:hAnsi="Times New Roman"/>
          <w:color w:val="000000"/>
        </w:rPr>
        <w:t>S8.1 Single-Reservoir Justification</w:t>
      </w:r>
    </w:p>
    <w:p>
      <w:pPr>
        <w:spacing w:after="120" w:line="480" w:lineRule="auto"/>
      </w:pPr>
      <w:r>
        <w:rPr>
          <w:rFonts w:ascii="Times New Roman" w:hAnsi="Times New Roman"/>
          <w:sz w:val="24"/>
        </w:rPr>
        <w:t>The Colorado River system has two major reservoirs — Lake Powell (upstream, Glen Canyon Dam) and Lake Mead (downstream, Hoover Dam) — but the model tracks only Lake Mead storage and elevation explicitly. This is justified for three reasons:</w:t>
      </w:r>
    </w:p>
    <w:p>
      <w:pPr>
        <w:pStyle w:val="ListNumber"/>
      </w:pPr>
      <w:r>
        <w:rPr>
          <w:rFonts w:ascii="Times New Roman" w:hAnsi="Times New Roman"/>
          <w:sz w:val="24"/>
        </w:rPr>
        <w:t>1. Lake Mead is the decision-relevant reservoir. All DCP shortage tiers, curtailment ratios, and Mexico treaty reductions are triggered by Lake Mead elevation. Lake Powell's operational role is to regulate releases to Lake Mead, which the model captures through the Powell minimum release constraint (Q_{\min} = 7.0 MAF/yr, Eq. 5) and the Upper Basin infrastructure ceiling (C_{\text{infra}} = 5.0 MAF/yr). Tracking Powell storage separately would not add information to the agent decision process.</w:t>
      </w:r>
    </w:p>
    <w:p>
      <w:pPr>
        <w:pStyle w:val="ListNumber"/>
      </w:pPr>
      <w:r>
        <w:rPr>
          <w:rFonts w:ascii="Times New Roman" w:hAnsi="Times New Roman"/>
          <w:sz w:val="24"/>
        </w:rPr>
        <w:t>2. Powell is implicitly represented. The effective UB diversion equation (Eq. 5: D_{\text{UB,eff}} = \min(D_{\text{UB}}, Q_{\text{nat}} - Q_{\min}, C_{\text{infra}})) encodes Powell's three operational constraints: (a) the 7.0 MAF/yr DCP minimum release floor ensuring downstream delivery, (b) the physical limit that UB cannot divert more than what flows in, and (c) the 5.0 MAF/yr infrastructure capacity ceiling. These constraints capture Powell's buffering role without requiring a separate storage state variable.</w:t>
      </w:r>
    </w:p>
    <w:p>
      <w:pPr>
        <w:pStyle w:val="ListNumber"/>
      </w:pPr>
      <w:r>
        <w:rPr>
          <w:rFonts w:ascii="Times New Roman" w:hAnsi="Times New Roman"/>
          <w:sz w:val="24"/>
        </w:rPr>
        <w:t>3. Hung &amp; Yang (2021) uses the same approach. Their FQL model also uses a reduced-form mass balance with CRSS inputs rather than independent Powell modeling. Both studies focus on agent-reservoir feedback at the demand decision point, not on multi-reservoir operations.</w:t>
      </w:r>
    </w:p>
    <w:p>
      <w:pPr>
        <w:spacing w:after="120" w:line="480" w:lineRule="auto"/>
      </w:pPr>
      <w:r>
        <w:rPr>
          <w:rFonts w:ascii="Times New Roman" w:hAnsi="Times New Roman"/>
          <w:sz w:val="24"/>
        </w:rPr>
        <w:t>The model omits monthly temporal resolution, multi-reservoir operations (Powell, Flaming Gorge, Blue Mesa), detailed hydrologic routing, return flows and groundwater interactions, and prior appropriation doctrine (all agents face uniform curtailment). These omissions are acceptable because the study examines how governance rules affect collective demand adaptation trajectories over 42 years — a process that operates at annual decision cycles.</w:t>
      </w:r>
    </w:p>
    <w:p>
      <w:pPr>
        <w:pStyle w:val="Heading2"/>
      </w:pPr>
      <w:r>
        <w:rPr>
          <w:rFonts w:ascii="Times New Roman" w:hAnsi="Times New Roman"/>
          <w:color w:val="000000"/>
        </w:rPr>
        <w:t>S8.2 Initial Condition</w:t>
      </w:r>
    </w:p>
    <w:p>
      <w:pPr>
        <w:spacing w:after="120" w:line="480" w:lineRule="auto"/>
      </w:pPr>
      <w:r>
        <w:rPr>
          <w:rFonts w:ascii="Times New Roman" w:hAnsi="Times New Roman"/>
          <w:sz w:val="24"/>
        </w:rPr>
        <w:t>The simulation initializes Lake Mead at 1081.46 ft, the USBR-observed elevation as of December 2018 — the year before the simulation begins (Y1 = calendar year 2019). This places the initial condition in Tier 0 (above the 1075 ft threshold), matching real-world conditions. The code also pre-seeds the elevation history with 2017 (1082.52 ft) and 2018 (1081.46 ft) values for the preceding-factor computation that requires a 2-year lookback.</w:t>
      </w:r>
    </w:p>
    <w:p>
      <w:pPr>
        <w:spacing w:after="120" w:line="480" w:lineRule="auto"/>
      </w:pPr>
      <w:r>
        <w:rPr>
          <w:rFonts w:ascii="Times New Roman" w:hAnsi="Times New Roman"/>
          <w:sz w:val="24"/>
        </w:rPr>
        <w:t>During the cold-start transient (Y1-5), rapid demand adjustments by zero-memory agents cause Lake Mead to decline to the ~1050 ft range before stabilizing. The cold-start mean demand is 4.76 MAF with CoV = 11.4%, compared to steady-state (Y6-42) mean demand of 6.02 MAF with CoV = 5.3%. This initial decline reflects the learning dynamics of agents discovering equilibrium demand levels from scratch, not an artifact of the starting elevation.</w:t>
      </w:r>
    </w:p>
    <w:p>
      <w:pPr>
        <w:pStyle w:val="Heading2"/>
      </w:pPr>
      <w:r>
        <w:rPr>
          <w:rFonts w:ascii="Times New Roman" w:hAnsi="Times New Roman"/>
          <w:color w:val="000000"/>
        </w:rPr>
        <w:t>S8.3 Annual Mass Balance Equations</w:t>
      </w:r>
    </w:p>
    <w:p>
      <w:pPr>
        <w:spacing w:after="120" w:line="480" w:lineRule="auto"/>
      </w:pPr>
      <w:r>
        <w:rPr>
          <w:rFonts w:ascii="Times New Roman" w:hAnsi="Times New Roman"/>
          <w:sz w:val="24"/>
        </w:rPr>
        <w:t>All quantities are in MAF (million acre-feet) at annual resolution.</w:t>
      </w:r>
    </w:p>
    <w:p>
      <w:pPr>
        <w:spacing w:after="120" w:line="480" w:lineRule="auto"/>
      </w:pPr>
      <w:r>
        <w:rPr>
          <w:rFonts w:ascii="Times New Roman" w:hAnsi="Times New Roman"/>
          <w:sz w:val="24"/>
        </w:rPr>
        <w:t>Storage update — the core equation governing Lake Mead:</w:t>
      </w:r>
    </w:p>
    <w:p>
      <w:pPr>
        <w:spacing w:before="120" w:after="120"/>
        <w:jc w:val="center"/>
      </w:pPr>
      <w:r>
        <w:rPr>
          <w:rFonts w:ascii="Cambria Math" w:hAnsi="Cambria Math"/>
          <w:i/>
          <w:sz w:val="22"/>
        </w:rPr>
        <w:t>S(t+1) = S(t) + clamp(Q_in(t) - Q_out(t),  -\Delta_max,  +\Delta_max)          (Eq.\ 1)</w:t>
      </w:r>
    </w:p>
    <w:p>
      <w:pPr>
        <w:spacing w:after="120" w:line="480" w:lineRule="auto"/>
      </w:pPr>
      <w:r>
        <w:rPr>
          <w:rFonts w:ascii="Times New Roman" w:hAnsi="Times New Roman"/>
          <w:sz w:val="24"/>
        </w:rPr>
        <w:t>where S \in [2.0,\, 26.1] MAF (dead-pool to full-pool physical bounds) and \Delta_{\max} = 3.5 MAF (Glen Canyon Dam operational buffering).</w:t>
      </w:r>
    </w:p>
    <w:p>
      <w:r>
        <w:rPr>
          <w:rFonts w:ascii="Times New Roman" w:hAnsi="Times New Roman"/>
          <w:b/>
          <w:sz w:val="24"/>
        </w:rPr>
        <w:t>Inflow and outflow:</w:t>
      </w:r>
    </w:p>
    <w:p>
      <w:pPr>
        <w:spacing w:before="120" w:after="120"/>
        <w:jc w:val="center"/>
      </w:pPr>
      <w:r>
        <w:rPr>
          <w:rFonts w:ascii="Cambria Math" w:hAnsi="Cambria Math"/>
          <w:i/>
          <w:sz w:val="22"/>
        </w:rPr>
        <w:t>Q_in = Q_Powell + Q_trib          (Eq.\ 2)</w:t>
      </w:r>
    </w:p>
    <w:p>
      <w:pPr>
        <w:spacing w:before="120" w:after="120"/>
        <w:jc w:val="center"/>
      </w:pPr>
      <w:r>
        <w:rPr>
          <w:rFonts w:ascii="Cambria Math" w:hAnsi="Cambria Math"/>
          <w:i/>
          <w:sz w:val="22"/>
        </w:rPr>
        <w:t>Q_out = D_LB + M(h) + E(S) + D_muni          (Eq.\ 3)</w:t>
      </w:r>
    </w:p>
    <w:p>
      <w:pPr>
        <w:spacing w:after="120" w:line="480" w:lineRule="auto"/>
      </w:pPr>
      <w:r>
        <w:rPr>
          <w:rFonts w:ascii="Times New Roman" w:hAnsi="Times New Roman"/>
          <w:sz w:val="24"/>
        </w:rPr>
        <w:t>where Q_{\text{trib}} = 1.0 MAF/yr (Lower Basin tributary inflow: Virgin River, Little Colorado, Bill Williams) and D_{\text{muni}} = 5.0 MAF/yr (municipal and industrial demands, tribal, Central Arizona Project, and system losses).</w:t>
      </w:r>
    </w:p>
    <w:p>
      <w:pPr>
        <w:spacing w:after="120" w:line="480" w:lineRule="auto"/>
      </w:pPr>
      <w:r>
        <w:rPr>
          <w:rFonts w:ascii="Times New Roman" w:hAnsi="Times New Roman"/>
          <w:sz w:val="24"/>
        </w:rPr>
        <w:t>Powell release — constrained by minimum release floor and UB infrastructure:</w:t>
      </w:r>
    </w:p>
    <w:p>
      <w:pPr>
        <w:spacing w:before="120" w:after="120"/>
        <w:jc w:val="center"/>
      </w:pPr>
      <w:r>
        <w:rPr>
          <w:rFonts w:ascii="Cambria Math" w:hAnsi="Cambria Math"/>
          <w:i/>
          <w:sz w:val="22"/>
        </w:rPr>
        <w:t>Q_Powell = Q_nat - D_UB,eff          (Eq.\ 4)</w:t>
      </w:r>
    </w:p>
    <w:p>
      <w:pPr>
        <w:spacing w:before="120" w:after="120"/>
        <w:jc w:val="center"/>
      </w:pPr>
      <w:r>
        <w:rPr>
          <w:rFonts w:ascii="Cambria Math" w:hAnsi="Cambria Math"/>
          <w:i/>
          <w:sz w:val="22"/>
        </w:rPr>
        <w:t>D_UB,eff = min(D_UB,  Q_nat - Q_min,  C_infra)          (Eq.\ 5)</w:t>
      </w:r>
    </w:p>
    <w:p>
      <w:pPr>
        <w:spacing w:after="120" w:line="480" w:lineRule="auto"/>
      </w:pPr>
      <w:r>
        <w:rPr>
          <w:rFonts w:ascii="Times New Roman" w:hAnsi="Times New Roman"/>
          <w:sz w:val="24"/>
        </w:rPr>
        <w:t>where Q_{\min} = 7.0 MAF/yr (DCP minimum Powell release floor, USBR 2019) and C_{\text{infra}} = 5.0 MAF/yr (historical Upper Basin depletion capacity).</w:t>
      </w:r>
    </w:p>
    <w:p>
      <w:pPr>
        <w:spacing w:after="120" w:line="480" w:lineRule="auto"/>
      </w:pPr>
      <w:r>
        <w:rPr>
          <w:rFonts w:ascii="Times New Roman" w:hAnsi="Times New Roman"/>
          <w:sz w:val="24"/>
        </w:rPr>
        <w:t>Natural flow — driven by CRSS PRISM precipitation:</w:t>
      </w:r>
    </w:p>
    <w:p>
      <w:pPr>
        <w:spacing w:before="120" w:after="120"/>
        <w:jc w:val="center"/>
      </w:pPr>
      <w:r>
        <w:rPr>
          <w:rFonts w:ascii="Cambria Math" w:hAnsi="Cambria Math"/>
          <w:i/>
          <w:sz w:val="22"/>
        </w:rPr>
        <w:t>Q_nat = Q_base x (P)/(P_0,      Q_nat  in  [6, 17]  MAF          (Eq.\ 6)</w:t>
      </w:r>
    </w:p>
    <w:p>
      <w:pPr>
        <w:spacing w:after="120" w:line="480" w:lineRule="auto"/>
      </w:pPr>
      <w:r>
        <w:rPr>
          <w:rFonts w:ascii="Times New Roman" w:hAnsi="Times New Roman"/>
          <w:sz w:val="24"/>
        </w:rPr>
        <w:t>where Q_{\text{base}} = 12.0 MAF/yr (historical natural flow baseline) and P_0 = 100 mm (UB winter precipitation baseline).</w:t>
      </w:r>
    </w:p>
    <w:p>
      <w:pPr>
        <w:spacing w:after="120" w:line="480" w:lineRule="auto"/>
      </w:pPr>
      <w:r>
        <w:rPr>
          <w:rFonts w:ascii="Times New Roman" w:hAnsi="Times New Roman"/>
          <w:sz w:val="24"/>
        </w:rPr>
        <w:t>Evaporation — scales with storage as a surface-area proxy:</w:t>
      </w:r>
    </w:p>
    <w:p>
      <w:pPr>
        <w:spacing w:before="120" w:after="120"/>
        <w:jc w:val="center"/>
      </w:pPr>
      <w:r>
        <w:rPr>
          <w:rFonts w:ascii="Cambria Math" w:hAnsi="Cambria Math"/>
          <w:i/>
          <w:sz w:val="22"/>
        </w:rPr>
        <w:t>E(S) = E_ref x clamp((S)/(S_ref,  0.15,  1.50)          (Eq.\ 7)</w:t>
      </w:r>
    </w:p>
    <w:p>
      <w:pPr>
        <w:spacing w:after="120" w:line="480" w:lineRule="auto"/>
      </w:pPr>
      <w:r>
        <w:rPr>
          <w:rFonts w:ascii="Times New Roman" w:hAnsi="Times New Roman"/>
          <w:sz w:val="24"/>
        </w:rPr>
        <w:t>where E_{\text{ref}} = 0.8 MAF/yr and S_{\text{ref}} = 13.0 MAF (reference storage at approximately 1100 ft elevation). This simplified evaporation proxy is calibrated to match USBR published estimates of 0.6–1.0 MAF/yr for Lake Mead; no independent validation source exists.</w:t>
      </w:r>
    </w:p>
    <w:p>
      <w:pPr>
        <w:spacing w:after="120" w:line="480" w:lineRule="auto"/>
      </w:pPr>
      <w:r>
        <w:rPr>
          <w:rFonts w:ascii="Times New Roman" w:hAnsi="Times New Roman"/>
          <w:sz w:val="24"/>
        </w:rPr>
        <w:t>Agent diversion — links agent decisions to mass balance:</w:t>
      </w:r>
    </w:p>
    <w:p>
      <w:pPr>
        <w:spacing w:before="120" w:after="120"/>
        <w:jc w:val="center"/>
      </w:pPr>
      <w:r>
        <w:rPr>
          <w:rFonts w:ascii="Cambria Math" w:hAnsi="Cambria Math"/>
          <w:i/>
          <w:sz w:val="22"/>
        </w:rPr>
        <w:t>d_i(t) = min(r_i(t),  w_i) x (1 - \gamma_\tau)          (Eq.\ 8)</w:t>
      </w:r>
    </w:p>
    <w:p>
      <w:pPr>
        <w:spacing w:after="120" w:line="480" w:lineRule="auto"/>
      </w:pPr>
      <w:r>
        <w:rPr>
          <w:rFonts w:ascii="Times New Roman" w:hAnsi="Times New Roman"/>
          <w:sz w:val="24"/>
        </w:rPr>
        <w:t>where r_i is agent i's demand request (set by skill execution), w_i is the legal water right, and \gamma_{\tau} is the curtailment ratio for shortage tier \tau. Basin-level diversions aggregate over agents:</w:t>
      </w:r>
    </w:p>
    <w:p>
      <w:pPr>
        <w:spacing w:before="120" w:after="120"/>
        <w:jc w:val="center"/>
      </w:pPr>
      <w:r>
        <w:rPr>
          <w:rFonts w:ascii="Cambria Math" w:hAnsi="Cambria Math"/>
          <w:i/>
          <w:sz w:val="22"/>
        </w:rPr>
        <w:t>D_LB = SUM_i  in  LB d_i,          D_UB = SUM_i  in  UB d_i          (Eq.\ 9)</w:t>
      </w:r>
    </w:p>
    <w:p>
      <w:pPr>
        <w:spacing w:after="120" w:line="480" w:lineRule="auto"/>
      </w:pPr>
      <w:r>
        <w:rPr>
          <w:rFonts w:ascii="Times New Roman" w:hAnsi="Times New Roman"/>
          <w:sz w:val="24"/>
        </w:rPr>
        <w:t>Upper Basin agents face an additional pro-rata constraint when aggregate UB diversions exceed the binding constraint of \min(Q_{\text{nat}} - Q_{\min},\; C_{\text{infra}}) MAF.</w:t>
      </w:r>
    </w:p>
    <w:p>
      <w:pPr>
        <w:pStyle w:val="Heading2"/>
      </w:pPr>
      <w:r>
        <w:rPr>
          <w:rFonts w:ascii="Times New Roman" w:hAnsi="Times New Roman"/>
          <w:color w:val="000000"/>
        </w:rPr>
        <w:t>S8.4 Variable Definitions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jc w:val="left"/>
            </w:pPr>
            <w:r/>
            <w:r>
              <w:rPr>
                <w:rFonts w:ascii="Times New Roman" w:hAnsi="Times New Roman"/>
                <w:b/>
                <w:sz w:val="20"/>
              </w:rPr>
              <w:t>Symbol</w:t>
            </w:r>
          </w:p>
        </w:tc>
        <w:tc>
          <w:tcPr>
            <w:tcW w:type="dxa" w:w="3024"/>
          </w:tcPr>
          <w:p>
            <w:pPr>
              <w:jc w:val="left"/>
            </w:pPr>
            <w:r/>
            <w:r>
              <w:rPr>
                <w:rFonts w:ascii="Times New Roman" w:hAnsi="Times New Roman"/>
                <w:b/>
                <w:sz w:val="20"/>
              </w:rPr>
              <w:t>Definition</w:t>
            </w:r>
          </w:p>
        </w:tc>
        <w:tc>
          <w:tcPr>
            <w:tcW w:type="dxa" w:w="3024"/>
          </w:tcPr>
          <w:p>
            <w:pPr>
              <w:jc w:val="left"/>
            </w:pPr>
            <w:r/>
            <w:r>
              <w:rPr>
                <w:rFonts w:ascii="Times New Roman" w:hAnsi="Times New Roman"/>
                <w:b/>
                <w:sz w:val="20"/>
              </w:rPr>
              <w:t>Value / Unit</w:t>
            </w:r>
          </w:p>
        </w:tc>
      </w:tr>
      <w:tr>
        <w:tc>
          <w:tcPr>
            <w:tcW w:type="dxa" w:w="3024"/>
          </w:tcPr>
          <w:p>
            <w:pPr>
              <w:jc w:val="left"/>
            </w:pPr>
            <w:r/>
            <w:r>
              <w:rPr>
                <w:rFonts w:ascii="Times New Roman" w:hAnsi="Times New Roman"/>
                <w:b w:val="0"/>
                <w:sz w:val="20"/>
              </w:rPr>
              <w:t>S</w:t>
            </w:r>
          </w:p>
        </w:tc>
        <w:tc>
          <w:tcPr>
            <w:tcW w:type="dxa" w:w="3024"/>
          </w:tcPr>
          <w:p>
            <w:pPr>
              <w:jc w:val="left"/>
            </w:pPr>
            <w:r/>
            <w:r>
              <w:rPr>
                <w:rFonts w:ascii="Times New Roman" w:hAnsi="Times New Roman"/>
                <w:b w:val="0"/>
                <w:sz w:val="20"/>
              </w:rPr>
              <w:t>Lake Mead storage</w:t>
            </w:r>
          </w:p>
        </w:tc>
        <w:tc>
          <w:tcPr>
            <w:tcW w:type="dxa" w:w="3024"/>
          </w:tcPr>
          <w:p>
            <w:pPr>
              <w:jc w:val="left"/>
            </w:pPr>
            <w:r/>
            <w:r>
              <w:rPr>
                <w:rFonts w:ascii="Times New Roman" w:hAnsi="Times New Roman"/>
                <w:b w:val="0"/>
                <w:sz w:val="20"/>
              </w:rPr>
              <w:t>MAF</w:t>
            </w:r>
          </w:p>
        </w:tc>
      </w:tr>
      <w:tr>
        <w:tc>
          <w:tcPr>
            <w:tcW w:type="dxa" w:w="3024"/>
          </w:tcPr>
          <w:p>
            <w:pPr>
              <w:jc w:val="left"/>
            </w:pPr>
            <w:r/>
            <w:r>
              <w:rPr>
                <w:rFonts w:ascii="Times New Roman" w:hAnsi="Times New Roman"/>
                <w:b w:val="0"/>
                <w:sz w:val="20"/>
              </w:rPr>
              <w:t>h</w:t>
            </w:r>
          </w:p>
        </w:tc>
        <w:tc>
          <w:tcPr>
            <w:tcW w:type="dxa" w:w="3024"/>
          </w:tcPr>
          <w:p>
            <w:pPr>
              <w:jc w:val="left"/>
            </w:pPr>
            <w:r/>
            <w:r>
              <w:rPr>
                <w:rFonts w:ascii="Times New Roman" w:hAnsi="Times New Roman"/>
                <w:b w:val="0"/>
                <w:sz w:val="20"/>
              </w:rPr>
              <w:t>Lake Mead elevation (from USBR storage-elevation curve)</w:t>
            </w:r>
          </w:p>
        </w:tc>
        <w:tc>
          <w:tcPr>
            <w:tcW w:type="dxa" w:w="3024"/>
          </w:tcPr>
          <w:p>
            <w:pPr>
              <w:jc w:val="left"/>
            </w:pPr>
            <w:r/>
            <w:r>
              <w:rPr>
                <w:rFonts w:ascii="Times New Roman" w:hAnsi="Times New Roman"/>
                <w:b w:val="0"/>
                <w:sz w:val="20"/>
              </w:rPr>
              <w:t>ft</w:t>
            </w:r>
          </w:p>
        </w:tc>
      </w:tr>
      <w:tr>
        <w:tc>
          <w:tcPr>
            <w:tcW w:type="dxa" w:w="3024"/>
          </w:tcPr>
          <w:p>
            <w:pPr>
              <w:jc w:val="left"/>
            </w:pPr>
            <w:r/>
            <w:r>
              <w:rPr>
                <w:rFonts w:ascii="Times New Roman" w:hAnsi="Times New Roman"/>
                <w:b w:val="0"/>
                <w:sz w:val="20"/>
              </w:rPr>
              <w:t>Q_{\text{in}}</w:t>
            </w:r>
          </w:p>
        </w:tc>
        <w:tc>
          <w:tcPr>
            <w:tcW w:type="dxa" w:w="3024"/>
          </w:tcPr>
          <w:p>
            <w:pPr>
              <w:jc w:val="left"/>
            </w:pPr>
            <w:r/>
            <w:r>
              <w:rPr>
                <w:rFonts w:ascii="Times New Roman" w:hAnsi="Times New Roman"/>
                <w:b w:val="0"/>
                <w:sz w:val="20"/>
              </w:rPr>
              <w:t>Total Mead inflow</w:t>
            </w:r>
          </w:p>
        </w:tc>
        <w:tc>
          <w:tcPr>
            <w:tcW w:type="dxa" w:w="3024"/>
          </w:tcPr>
          <w:p>
            <w:pPr>
              <w:jc w:val="left"/>
            </w:pPr>
            <w:r/>
            <w:r>
              <w:rPr>
                <w:rFonts w:ascii="Times New Roman" w:hAnsi="Times New Roman"/>
                <w:b w:val="0"/>
                <w:sz w:val="20"/>
              </w:rPr>
              <w:t>MAF/yr</w:t>
            </w:r>
          </w:p>
        </w:tc>
      </w:tr>
      <w:tr>
        <w:tc>
          <w:tcPr>
            <w:tcW w:type="dxa" w:w="3024"/>
          </w:tcPr>
          <w:p>
            <w:pPr>
              <w:jc w:val="left"/>
            </w:pPr>
            <w:r/>
            <w:r>
              <w:rPr>
                <w:rFonts w:ascii="Times New Roman" w:hAnsi="Times New Roman"/>
                <w:b w:val="0"/>
                <w:sz w:val="20"/>
              </w:rPr>
              <w:t>Q_{\text{out}}</w:t>
            </w:r>
          </w:p>
        </w:tc>
        <w:tc>
          <w:tcPr>
            <w:tcW w:type="dxa" w:w="3024"/>
          </w:tcPr>
          <w:p>
            <w:pPr>
              <w:jc w:val="left"/>
            </w:pPr>
            <w:r/>
            <w:r>
              <w:rPr>
                <w:rFonts w:ascii="Times New Roman" w:hAnsi="Times New Roman"/>
                <w:b w:val="0"/>
                <w:sz w:val="20"/>
              </w:rPr>
              <w:t>Total Mead outflow</w:t>
            </w:r>
          </w:p>
        </w:tc>
        <w:tc>
          <w:tcPr>
            <w:tcW w:type="dxa" w:w="3024"/>
          </w:tcPr>
          <w:p>
            <w:pPr>
              <w:jc w:val="left"/>
            </w:pPr>
            <w:r/>
            <w:r>
              <w:rPr>
                <w:rFonts w:ascii="Times New Roman" w:hAnsi="Times New Roman"/>
                <w:b w:val="0"/>
                <w:sz w:val="20"/>
              </w:rPr>
              <w:t>MAF/yr</w:t>
            </w:r>
          </w:p>
        </w:tc>
      </w:tr>
      <w:tr>
        <w:tc>
          <w:tcPr>
            <w:tcW w:type="dxa" w:w="3024"/>
          </w:tcPr>
          <w:p>
            <w:pPr>
              <w:jc w:val="left"/>
            </w:pPr>
            <w:r/>
            <w:r>
              <w:rPr>
                <w:rFonts w:ascii="Times New Roman" w:hAnsi="Times New Roman"/>
                <w:b w:val="0"/>
                <w:sz w:val="20"/>
              </w:rPr>
              <w:t>Q_{\text{Powell}}</w:t>
            </w:r>
          </w:p>
        </w:tc>
        <w:tc>
          <w:tcPr>
            <w:tcW w:type="dxa" w:w="3024"/>
          </w:tcPr>
          <w:p>
            <w:pPr>
              <w:jc w:val="left"/>
            </w:pPr>
            <w:r/>
            <w:r>
              <w:rPr>
                <w:rFonts w:ascii="Times New Roman" w:hAnsi="Times New Roman"/>
                <w:b w:val="0"/>
                <w:sz w:val="20"/>
              </w:rPr>
              <w:t>Powell release to Mead</w:t>
            </w:r>
          </w:p>
        </w:tc>
        <w:tc>
          <w:tcPr>
            <w:tcW w:type="dxa" w:w="3024"/>
          </w:tcPr>
          <w:p>
            <w:pPr>
              <w:jc w:val="left"/>
            </w:pPr>
            <w:r/>
            <w:r>
              <w:rPr>
                <w:rFonts w:ascii="Times New Roman" w:hAnsi="Times New Roman"/>
                <w:b w:val="0"/>
                <w:sz w:val="20"/>
              </w:rPr>
              <w:t>MAF/yr</w:t>
            </w:r>
          </w:p>
        </w:tc>
      </w:tr>
      <w:tr>
        <w:tc>
          <w:tcPr>
            <w:tcW w:type="dxa" w:w="3024"/>
          </w:tcPr>
          <w:p>
            <w:pPr>
              <w:jc w:val="left"/>
            </w:pPr>
            <w:r/>
            <w:r>
              <w:rPr>
                <w:rFonts w:ascii="Times New Roman" w:hAnsi="Times New Roman"/>
                <w:b w:val="0"/>
                <w:sz w:val="20"/>
              </w:rPr>
              <w:t>Q_{\text{nat}}</w:t>
            </w:r>
          </w:p>
        </w:tc>
        <w:tc>
          <w:tcPr>
            <w:tcW w:type="dxa" w:w="3024"/>
          </w:tcPr>
          <w:p>
            <w:pPr>
              <w:jc w:val="left"/>
            </w:pPr>
            <w:r/>
            <w:r>
              <w:rPr>
                <w:rFonts w:ascii="Times New Roman" w:hAnsi="Times New Roman"/>
                <w:b w:val="0"/>
                <w:sz w:val="20"/>
              </w:rPr>
              <w:t>Natural flow at Lee Ferry</w:t>
            </w:r>
          </w:p>
        </w:tc>
        <w:tc>
          <w:tcPr>
            <w:tcW w:type="dxa" w:w="3024"/>
          </w:tcPr>
          <w:p>
            <w:pPr>
              <w:jc w:val="left"/>
            </w:pPr>
            <w:r/>
            <w:r>
              <w:rPr>
                <w:rFonts w:ascii="Times New Roman" w:hAnsi="Times New Roman"/>
                <w:b w:val="0"/>
                <w:sz w:val="20"/>
              </w:rPr>
              <w:t>MAF/yr</w:t>
            </w:r>
          </w:p>
        </w:tc>
      </w:tr>
      <w:tr>
        <w:tc>
          <w:tcPr>
            <w:tcW w:type="dxa" w:w="3024"/>
          </w:tcPr>
          <w:p>
            <w:pPr>
              <w:jc w:val="left"/>
            </w:pPr>
            <w:r/>
            <w:r>
              <w:rPr>
                <w:rFonts w:ascii="Times New Roman" w:hAnsi="Times New Roman"/>
                <w:b w:val="0"/>
                <w:sz w:val="20"/>
              </w:rPr>
              <w:t>Q_{\text{trib}}</w:t>
            </w:r>
          </w:p>
        </w:tc>
        <w:tc>
          <w:tcPr>
            <w:tcW w:type="dxa" w:w="3024"/>
          </w:tcPr>
          <w:p>
            <w:pPr>
              <w:jc w:val="left"/>
            </w:pPr>
            <w:r/>
            <w:r>
              <w:rPr>
                <w:rFonts w:ascii="Times New Roman" w:hAnsi="Times New Roman"/>
                <w:b w:val="0"/>
                <w:sz w:val="20"/>
              </w:rPr>
              <w:t>LB tributary inflow</w:t>
            </w:r>
          </w:p>
        </w:tc>
        <w:tc>
          <w:tcPr>
            <w:tcW w:type="dxa" w:w="3024"/>
          </w:tcPr>
          <w:p>
            <w:pPr>
              <w:jc w:val="left"/>
            </w:pPr>
            <w:r/>
            <w:r>
              <w:rPr>
                <w:rFonts w:ascii="Times New Roman" w:hAnsi="Times New Roman"/>
                <w:b w:val="0"/>
                <w:sz w:val="20"/>
              </w:rPr>
              <w:t>1.0 MAF/yr</w:t>
            </w:r>
          </w:p>
        </w:tc>
      </w:tr>
      <w:tr>
        <w:tc>
          <w:tcPr>
            <w:tcW w:type="dxa" w:w="3024"/>
          </w:tcPr>
          <w:p>
            <w:pPr>
              <w:jc w:val="left"/>
            </w:pPr>
            <w:r/>
            <w:r>
              <w:rPr>
                <w:rFonts w:ascii="Times New Roman" w:hAnsi="Times New Roman"/>
                <w:b w:val="0"/>
                <w:sz w:val="20"/>
              </w:rPr>
              <w:t>Q_{\text{base}}</w:t>
            </w:r>
          </w:p>
        </w:tc>
        <w:tc>
          <w:tcPr>
            <w:tcW w:type="dxa" w:w="3024"/>
          </w:tcPr>
          <w:p>
            <w:pPr>
              <w:jc w:val="left"/>
            </w:pPr>
            <w:r/>
            <w:r>
              <w:rPr>
                <w:rFonts w:ascii="Times New Roman" w:hAnsi="Times New Roman"/>
                <w:b w:val="0"/>
                <w:sz w:val="20"/>
              </w:rPr>
              <w:t>Natural flow baseline</w:t>
            </w:r>
          </w:p>
        </w:tc>
        <w:tc>
          <w:tcPr>
            <w:tcW w:type="dxa" w:w="3024"/>
          </w:tcPr>
          <w:p>
            <w:pPr>
              <w:jc w:val="left"/>
            </w:pPr>
            <w:r/>
            <w:r>
              <w:rPr>
                <w:rFonts w:ascii="Times New Roman" w:hAnsi="Times New Roman"/>
                <w:b w:val="0"/>
                <w:sz w:val="20"/>
              </w:rPr>
              <w:t>12.0 MAF/yr</w:t>
            </w:r>
          </w:p>
        </w:tc>
      </w:tr>
      <w:tr>
        <w:tc>
          <w:tcPr>
            <w:tcW w:type="dxa" w:w="3024"/>
          </w:tcPr>
          <w:p>
            <w:pPr>
              <w:jc w:val="left"/>
            </w:pPr>
            <w:r/>
            <w:r>
              <w:rPr>
                <w:rFonts w:ascii="Times New Roman" w:hAnsi="Times New Roman"/>
                <w:b w:val="0"/>
                <w:sz w:val="20"/>
              </w:rPr>
              <w:t>Q_{\min}</w:t>
            </w:r>
          </w:p>
        </w:tc>
        <w:tc>
          <w:tcPr>
            <w:tcW w:type="dxa" w:w="3024"/>
          </w:tcPr>
          <w:p>
            <w:pPr>
              <w:jc w:val="left"/>
            </w:pPr>
            <w:r/>
            <w:r>
              <w:rPr>
                <w:rFonts w:ascii="Times New Roman" w:hAnsi="Times New Roman"/>
                <w:b w:val="0"/>
                <w:sz w:val="20"/>
              </w:rPr>
              <w:t>Minimum Powell release (DCP floor)</w:t>
            </w:r>
          </w:p>
        </w:tc>
        <w:tc>
          <w:tcPr>
            <w:tcW w:type="dxa" w:w="3024"/>
          </w:tcPr>
          <w:p>
            <w:pPr>
              <w:jc w:val="left"/>
            </w:pPr>
            <w:r/>
            <w:r>
              <w:rPr>
                <w:rFonts w:ascii="Times New Roman" w:hAnsi="Times New Roman"/>
                <w:b w:val="0"/>
                <w:sz w:val="20"/>
              </w:rPr>
              <w:t>7.0 MAF/yr</w:t>
            </w:r>
          </w:p>
        </w:tc>
      </w:tr>
      <w:tr>
        <w:tc>
          <w:tcPr>
            <w:tcW w:type="dxa" w:w="3024"/>
          </w:tcPr>
          <w:p>
            <w:pPr>
              <w:jc w:val="left"/>
            </w:pPr>
            <w:r/>
            <w:r>
              <w:rPr>
                <w:rFonts w:ascii="Times New Roman" w:hAnsi="Times New Roman"/>
                <w:b w:val="0"/>
                <w:sz w:val="20"/>
              </w:rPr>
              <w:t>D_{\text{UB}}</w:t>
            </w:r>
          </w:p>
        </w:tc>
        <w:tc>
          <w:tcPr>
            <w:tcW w:type="dxa" w:w="3024"/>
          </w:tcPr>
          <w:p>
            <w:pPr>
              <w:jc w:val="left"/>
            </w:pPr>
            <w:r/>
            <w:r>
              <w:rPr>
                <w:rFonts w:ascii="Times New Roman" w:hAnsi="Times New Roman"/>
                <w:b w:val="0"/>
                <w:sz w:val="20"/>
              </w:rPr>
              <w:t>Upper Basin diversions (sum of UB agent diversions)</w:t>
            </w:r>
          </w:p>
        </w:tc>
        <w:tc>
          <w:tcPr>
            <w:tcW w:type="dxa" w:w="3024"/>
          </w:tcPr>
          <w:p>
            <w:pPr>
              <w:jc w:val="left"/>
            </w:pPr>
            <w:r/>
            <w:r>
              <w:rPr>
                <w:rFonts w:ascii="Times New Roman" w:hAnsi="Times New Roman"/>
                <w:b w:val="0"/>
                <w:sz w:val="20"/>
              </w:rPr>
              <w:t>MAF/yr</w:t>
            </w:r>
          </w:p>
        </w:tc>
      </w:tr>
      <w:tr>
        <w:tc>
          <w:tcPr>
            <w:tcW w:type="dxa" w:w="3024"/>
          </w:tcPr>
          <w:p>
            <w:pPr>
              <w:jc w:val="left"/>
            </w:pPr>
            <w:r/>
            <w:r>
              <w:rPr>
                <w:rFonts w:ascii="Times New Roman" w:hAnsi="Times New Roman"/>
                <w:b w:val="0"/>
                <w:sz w:val="20"/>
              </w:rPr>
              <w:t>D_{\text{UB,eff}}</w:t>
            </w:r>
          </w:p>
        </w:tc>
        <w:tc>
          <w:tcPr>
            <w:tcW w:type="dxa" w:w="3024"/>
          </w:tcPr>
          <w:p>
            <w:pPr>
              <w:jc w:val="left"/>
            </w:pPr>
            <w:r/>
            <w:r>
              <w:rPr>
                <w:rFonts w:ascii="Times New Roman" w:hAnsi="Times New Roman"/>
                <w:b w:val="0"/>
                <w:sz w:val="20"/>
              </w:rPr>
              <w:t>Effective UB diversions (constrained)</w:t>
            </w:r>
          </w:p>
        </w:tc>
        <w:tc>
          <w:tcPr>
            <w:tcW w:type="dxa" w:w="3024"/>
          </w:tcPr>
          <w:p>
            <w:pPr>
              <w:jc w:val="left"/>
            </w:pPr>
            <w:r/>
            <w:r>
              <w:rPr>
                <w:rFonts w:ascii="Times New Roman" w:hAnsi="Times New Roman"/>
                <w:b w:val="0"/>
                <w:sz w:val="20"/>
              </w:rPr>
              <w:t>MAF/yr</w:t>
            </w:r>
          </w:p>
        </w:tc>
      </w:tr>
      <w:tr>
        <w:tc>
          <w:tcPr>
            <w:tcW w:type="dxa" w:w="3024"/>
          </w:tcPr>
          <w:p>
            <w:pPr>
              <w:jc w:val="left"/>
            </w:pPr>
            <w:r/>
            <w:r>
              <w:rPr>
                <w:rFonts w:ascii="Times New Roman" w:hAnsi="Times New Roman"/>
                <w:b w:val="0"/>
                <w:sz w:val="20"/>
              </w:rPr>
              <w:t>D_{\text{LB}}</w:t>
            </w:r>
          </w:p>
        </w:tc>
        <w:tc>
          <w:tcPr>
            <w:tcW w:type="dxa" w:w="3024"/>
          </w:tcPr>
          <w:p>
            <w:pPr>
              <w:jc w:val="left"/>
            </w:pPr>
            <w:r/>
            <w:r>
              <w:rPr>
                <w:rFonts w:ascii="Times New Roman" w:hAnsi="Times New Roman"/>
                <w:b w:val="0"/>
                <w:sz w:val="20"/>
              </w:rPr>
              <w:t>Lower Basin diversions (sum of LB agent diversions)</w:t>
            </w:r>
          </w:p>
        </w:tc>
        <w:tc>
          <w:tcPr>
            <w:tcW w:type="dxa" w:w="3024"/>
          </w:tcPr>
          <w:p>
            <w:pPr>
              <w:jc w:val="left"/>
            </w:pPr>
            <w:r/>
            <w:r>
              <w:rPr>
                <w:rFonts w:ascii="Times New Roman" w:hAnsi="Times New Roman"/>
                <w:b w:val="0"/>
                <w:sz w:val="20"/>
              </w:rPr>
              <w:t>MAF/yr</w:t>
            </w:r>
          </w:p>
        </w:tc>
      </w:tr>
      <w:tr>
        <w:tc>
          <w:tcPr>
            <w:tcW w:type="dxa" w:w="3024"/>
          </w:tcPr>
          <w:p>
            <w:pPr>
              <w:jc w:val="left"/>
            </w:pPr>
            <w:r/>
            <w:r>
              <w:rPr>
                <w:rFonts w:ascii="Times New Roman" w:hAnsi="Times New Roman"/>
                <w:b w:val="0"/>
                <w:sz w:val="20"/>
              </w:rPr>
              <w:t>D_{\text{muni}}</w:t>
            </w:r>
          </w:p>
        </w:tc>
        <w:tc>
          <w:tcPr>
            <w:tcW w:type="dxa" w:w="3024"/>
          </w:tcPr>
          <w:p>
            <w:pPr>
              <w:jc w:val="left"/>
            </w:pPr>
            <w:r/>
            <w:r>
              <w:rPr>
                <w:rFonts w:ascii="Times New Roman" w:hAnsi="Times New Roman"/>
                <w:b w:val="0"/>
                <w:sz w:val="20"/>
              </w:rPr>
              <w:t>Municipal/M&amp;I demand</w:t>
            </w:r>
          </w:p>
        </w:tc>
        <w:tc>
          <w:tcPr>
            <w:tcW w:type="dxa" w:w="3024"/>
          </w:tcPr>
          <w:p>
            <w:pPr>
              <w:jc w:val="left"/>
            </w:pPr>
            <w:r/>
            <w:r>
              <w:rPr>
                <w:rFonts w:ascii="Times New Roman" w:hAnsi="Times New Roman"/>
                <w:b w:val="0"/>
                <w:sz w:val="20"/>
              </w:rPr>
              <w:t>5.0 MAF/yr</w:t>
            </w:r>
          </w:p>
        </w:tc>
      </w:tr>
      <w:tr>
        <w:tc>
          <w:tcPr>
            <w:tcW w:type="dxa" w:w="3024"/>
          </w:tcPr>
          <w:p>
            <w:pPr>
              <w:jc w:val="left"/>
            </w:pPr>
            <w:r/>
            <w:r>
              <w:rPr>
                <w:rFonts w:ascii="Times New Roman" w:hAnsi="Times New Roman"/>
                <w:b w:val="0"/>
                <w:sz w:val="20"/>
              </w:rPr>
              <w:t>C_{\text{infra}}</w:t>
            </w:r>
          </w:p>
        </w:tc>
        <w:tc>
          <w:tcPr>
            <w:tcW w:type="dxa" w:w="3024"/>
          </w:tcPr>
          <w:p>
            <w:pPr>
              <w:jc w:val="left"/>
            </w:pPr>
            <w:r/>
            <w:r>
              <w:rPr>
                <w:rFonts w:ascii="Times New Roman" w:hAnsi="Times New Roman"/>
                <w:b w:val="0"/>
                <w:sz w:val="20"/>
              </w:rPr>
              <w:t>UB infrastructure ceiling</w:t>
            </w:r>
          </w:p>
        </w:tc>
        <w:tc>
          <w:tcPr>
            <w:tcW w:type="dxa" w:w="3024"/>
          </w:tcPr>
          <w:p>
            <w:pPr>
              <w:jc w:val="left"/>
            </w:pPr>
            <w:r/>
            <w:r>
              <w:rPr>
                <w:rFonts w:ascii="Times New Roman" w:hAnsi="Times New Roman"/>
                <w:b w:val="0"/>
                <w:sz w:val="20"/>
              </w:rPr>
              <w:t>5.0 MAF/yr</w:t>
            </w:r>
          </w:p>
        </w:tc>
      </w:tr>
      <w:tr>
        <w:tc>
          <w:tcPr>
            <w:tcW w:type="dxa" w:w="3024"/>
          </w:tcPr>
          <w:p>
            <w:pPr>
              <w:jc w:val="left"/>
            </w:pPr>
            <w:r/>
            <w:r>
              <w:rPr>
                <w:rFonts w:ascii="Times New Roman" w:hAnsi="Times New Roman"/>
                <w:b w:val="0"/>
                <w:sz w:val="20"/>
              </w:rPr>
              <w:t>M(h)</w:t>
            </w:r>
          </w:p>
        </w:tc>
        <w:tc>
          <w:tcPr>
            <w:tcW w:type="dxa" w:w="3024"/>
          </w:tcPr>
          <w:p>
            <w:pPr>
              <w:jc w:val="left"/>
            </w:pPr>
            <w:r/>
            <w:r>
              <w:rPr>
                <w:rFonts w:ascii="Times New Roman" w:hAnsi="Times New Roman"/>
                <w:b w:val="0"/>
                <w:sz w:val="20"/>
              </w:rPr>
              <w:t>Mexico treaty delivery (elevation-dependent)</w:t>
            </w:r>
          </w:p>
        </w:tc>
        <w:tc>
          <w:tcPr>
            <w:tcW w:type="dxa" w:w="3024"/>
          </w:tcPr>
          <w:p>
            <w:pPr>
              <w:jc w:val="left"/>
            </w:pPr>
            <w:r/>
            <w:r>
              <w:rPr>
                <w:rFonts w:ascii="Times New Roman" w:hAnsi="Times New Roman"/>
                <w:b w:val="0"/>
                <w:sz w:val="20"/>
              </w:rPr>
              <w:t>MAF/yr</w:t>
            </w:r>
          </w:p>
        </w:tc>
      </w:tr>
      <w:tr>
        <w:tc>
          <w:tcPr>
            <w:tcW w:type="dxa" w:w="3024"/>
          </w:tcPr>
          <w:p>
            <w:pPr>
              <w:jc w:val="left"/>
            </w:pPr>
            <w:r/>
            <w:r>
              <w:rPr>
                <w:rFonts w:ascii="Times New Roman" w:hAnsi="Times New Roman"/>
                <w:b w:val="0"/>
                <w:sz w:val="20"/>
              </w:rPr>
              <w:t>E(S)</w:t>
            </w:r>
          </w:p>
        </w:tc>
        <w:tc>
          <w:tcPr>
            <w:tcW w:type="dxa" w:w="3024"/>
          </w:tcPr>
          <w:p>
            <w:pPr>
              <w:jc w:val="left"/>
            </w:pPr>
            <w:r/>
            <w:r>
              <w:rPr>
                <w:rFonts w:ascii="Times New Roman" w:hAnsi="Times New Roman"/>
                <w:b w:val="0"/>
                <w:sz w:val="20"/>
              </w:rPr>
              <w:t>Reservoir evaporation (storage-dependent)</w:t>
            </w:r>
          </w:p>
        </w:tc>
        <w:tc>
          <w:tcPr>
            <w:tcW w:type="dxa" w:w="3024"/>
          </w:tcPr>
          <w:p>
            <w:pPr>
              <w:jc w:val="left"/>
            </w:pPr>
            <w:r/>
            <w:r>
              <w:rPr>
                <w:rFonts w:ascii="Times New Roman" w:hAnsi="Times New Roman"/>
                <w:b w:val="0"/>
                <w:sz w:val="20"/>
              </w:rPr>
              <w:t>MAF/yr</w:t>
            </w:r>
          </w:p>
        </w:tc>
      </w:tr>
      <w:tr>
        <w:tc>
          <w:tcPr>
            <w:tcW w:type="dxa" w:w="3024"/>
          </w:tcPr>
          <w:p>
            <w:pPr>
              <w:jc w:val="left"/>
            </w:pPr>
            <w:r/>
            <w:r>
              <w:rPr>
                <w:rFonts w:ascii="Times New Roman" w:hAnsi="Times New Roman"/>
                <w:b w:val="0"/>
                <w:sz w:val="20"/>
              </w:rPr>
              <w:t>E_{\text{ref}}</w:t>
            </w:r>
          </w:p>
        </w:tc>
        <w:tc>
          <w:tcPr>
            <w:tcW w:type="dxa" w:w="3024"/>
          </w:tcPr>
          <w:p>
            <w:pPr>
              <w:jc w:val="left"/>
            </w:pPr>
            <w:r/>
            <w:r>
              <w:rPr>
                <w:rFonts w:ascii="Times New Roman" w:hAnsi="Times New Roman"/>
                <w:b w:val="0"/>
                <w:sz w:val="20"/>
              </w:rPr>
              <w:t>Reference evaporation at S_{\text{ref}}</w:t>
            </w:r>
          </w:p>
        </w:tc>
        <w:tc>
          <w:tcPr>
            <w:tcW w:type="dxa" w:w="3024"/>
          </w:tcPr>
          <w:p>
            <w:pPr>
              <w:jc w:val="left"/>
            </w:pPr>
            <w:r/>
            <w:r>
              <w:rPr>
                <w:rFonts w:ascii="Times New Roman" w:hAnsi="Times New Roman"/>
                <w:b w:val="0"/>
                <w:sz w:val="20"/>
              </w:rPr>
              <w:t>0.8 MAF/yr</w:t>
            </w:r>
          </w:p>
        </w:tc>
      </w:tr>
      <w:tr>
        <w:tc>
          <w:tcPr>
            <w:tcW w:type="dxa" w:w="3024"/>
          </w:tcPr>
          <w:p>
            <w:pPr>
              <w:jc w:val="left"/>
            </w:pPr>
            <w:r/>
            <w:r>
              <w:rPr>
                <w:rFonts w:ascii="Times New Roman" w:hAnsi="Times New Roman"/>
                <w:b w:val="0"/>
                <w:sz w:val="20"/>
              </w:rPr>
              <w:t>S_{\text{ref}}</w:t>
            </w:r>
          </w:p>
        </w:tc>
        <w:tc>
          <w:tcPr>
            <w:tcW w:type="dxa" w:w="3024"/>
          </w:tcPr>
          <w:p>
            <w:pPr>
              <w:jc w:val="left"/>
            </w:pPr>
            <w:r/>
            <w:r>
              <w:rPr>
                <w:rFonts w:ascii="Times New Roman" w:hAnsi="Times New Roman"/>
                <w:b w:val="0"/>
                <w:sz w:val="20"/>
              </w:rPr>
              <w:t>Reference storage</w:t>
            </w:r>
          </w:p>
        </w:tc>
        <w:tc>
          <w:tcPr>
            <w:tcW w:type="dxa" w:w="3024"/>
          </w:tcPr>
          <w:p>
            <w:pPr>
              <w:jc w:val="left"/>
            </w:pPr>
            <w:r/>
            <w:r>
              <w:rPr>
                <w:rFonts w:ascii="Times New Roman" w:hAnsi="Times New Roman"/>
                <w:b w:val="0"/>
                <w:sz w:val="20"/>
              </w:rPr>
              <w:t>13.0 MAF</w:t>
            </w:r>
          </w:p>
        </w:tc>
      </w:tr>
      <w:tr>
        <w:tc>
          <w:tcPr>
            <w:tcW w:type="dxa" w:w="3024"/>
          </w:tcPr>
          <w:p>
            <w:pPr>
              <w:jc w:val="left"/>
            </w:pPr>
            <w:r/>
            <w:r>
              <w:rPr>
                <w:rFonts w:ascii="Times New Roman" w:hAnsi="Times New Roman"/>
                <w:b w:val="0"/>
                <w:sz w:val="20"/>
              </w:rPr>
              <w:t>P</w:t>
            </w:r>
          </w:p>
        </w:tc>
        <w:tc>
          <w:tcPr>
            <w:tcW w:type="dxa" w:w="3024"/>
          </w:tcPr>
          <w:p>
            <w:pPr>
              <w:jc w:val="left"/>
            </w:pPr>
            <w:r/>
            <w:r>
              <w:rPr>
                <w:rFonts w:ascii="Times New Roman" w:hAnsi="Times New Roman"/>
                <w:b w:val="0"/>
                <w:sz w:val="20"/>
              </w:rPr>
              <w:t>UB winter precipitation (7-state average)</w:t>
            </w:r>
          </w:p>
        </w:tc>
        <w:tc>
          <w:tcPr>
            <w:tcW w:type="dxa" w:w="3024"/>
          </w:tcPr>
          <w:p>
            <w:pPr>
              <w:jc w:val="left"/>
            </w:pPr>
            <w:r/>
            <w:r>
              <w:rPr>
                <w:rFonts w:ascii="Times New Roman" w:hAnsi="Times New Roman"/>
                <w:b w:val="0"/>
                <w:sz w:val="20"/>
              </w:rPr>
              <w:t>mm</w:t>
            </w:r>
          </w:p>
        </w:tc>
      </w:tr>
      <w:tr>
        <w:tc>
          <w:tcPr>
            <w:tcW w:type="dxa" w:w="3024"/>
          </w:tcPr>
          <w:p>
            <w:pPr>
              <w:jc w:val="left"/>
            </w:pPr>
            <w:r/>
            <w:r>
              <w:rPr>
                <w:rFonts w:ascii="Times New Roman" w:hAnsi="Times New Roman"/>
                <w:b w:val="0"/>
                <w:sz w:val="20"/>
              </w:rPr>
              <w:t>P_0</w:t>
            </w:r>
          </w:p>
        </w:tc>
        <w:tc>
          <w:tcPr>
            <w:tcW w:type="dxa" w:w="3024"/>
          </w:tcPr>
          <w:p>
            <w:pPr>
              <w:jc w:val="left"/>
            </w:pPr>
            <w:r/>
            <w:r>
              <w:rPr>
                <w:rFonts w:ascii="Times New Roman" w:hAnsi="Times New Roman"/>
                <w:b w:val="0"/>
                <w:sz w:val="20"/>
              </w:rPr>
              <w:t>Precipitation baseline</w:t>
            </w:r>
          </w:p>
        </w:tc>
        <w:tc>
          <w:tcPr>
            <w:tcW w:type="dxa" w:w="3024"/>
          </w:tcPr>
          <w:p>
            <w:pPr>
              <w:jc w:val="left"/>
            </w:pPr>
            <w:r/>
            <w:r>
              <w:rPr>
                <w:rFonts w:ascii="Times New Roman" w:hAnsi="Times New Roman"/>
                <w:b w:val="0"/>
                <w:sz w:val="20"/>
              </w:rPr>
              <w:t>100 mm</w:t>
            </w:r>
          </w:p>
        </w:tc>
      </w:tr>
      <w:tr>
        <w:tc>
          <w:tcPr>
            <w:tcW w:type="dxa" w:w="3024"/>
          </w:tcPr>
          <w:p>
            <w:pPr>
              <w:jc w:val="left"/>
            </w:pPr>
            <w:r/>
            <w:r>
              <w:rPr>
                <w:rFonts w:ascii="Times New Roman" w:hAnsi="Times New Roman"/>
                <w:b w:val="0"/>
                <w:sz w:val="20"/>
              </w:rPr>
              <w:t>\Delta_{\max}</w:t>
            </w:r>
          </w:p>
        </w:tc>
        <w:tc>
          <w:tcPr>
            <w:tcW w:type="dxa" w:w="3024"/>
          </w:tcPr>
          <w:p>
            <w:pPr>
              <w:jc w:val="left"/>
            </w:pPr>
            <w:r/>
            <w:r>
              <w:rPr>
                <w:rFonts w:ascii="Times New Roman" w:hAnsi="Times New Roman"/>
                <w:b w:val="0"/>
                <w:sz w:val="20"/>
              </w:rPr>
              <w:t>Max annual storage change</w:t>
            </w:r>
          </w:p>
        </w:tc>
        <w:tc>
          <w:tcPr>
            <w:tcW w:type="dxa" w:w="3024"/>
          </w:tcPr>
          <w:p>
            <w:pPr>
              <w:jc w:val="left"/>
            </w:pPr>
            <w:r/>
            <w:r>
              <w:rPr>
                <w:rFonts w:ascii="Times New Roman" w:hAnsi="Times New Roman"/>
                <w:b w:val="0"/>
                <w:sz w:val="20"/>
              </w:rPr>
              <w:t>3.5 MAF</w:t>
            </w:r>
          </w:p>
        </w:tc>
      </w:tr>
      <w:tr>
        <w:tc>
          <w:tcPr>
            <w:tcW w:type="dxa" w:w="3024"/>
          </w:tcPr>
          <w:p>
            <w:pPr>
              <w:jc w:val="left"/>
            </w:pPr>
            <w:r/>
            <w:r>
              <w:rPr>
                <w:rFonts w:ascii="Times New Roman" w:hAnsi="Times New Roman"/>
                <w:b w:val="0"/>
                <w:sz w:val="20"/>
              </w:rPr>
              <w:t>r_i</w:t>
            </w:r>
          </w:p>
        </w:tc>
        <w:tc>
          <w:tcPr>
            <w:tcW w:type="dxa" w:w="3024"/>
          </w:tcPr>
          <w:p>
            <w:pPr>
              <w:jc w:val="left"/>
            </w:pPr>
            <w:r/>
            <w:r>
              <w:rPr>
                <w:rFonts w:ascii="Times New Roman" w:hAnsi="Times New Roman"/>
                <w:b w:val="0"/>
                <w:sz w:val="20"/>
              </w:rPr>
              <w:t>Agent i demand request</w:t>
            </w:r>
          </w:p>
        </w:tc>
        <w:tc>
          <w:tcPr>
            <w:tcW w:type="dxa" w:w="3024"/>
          </w:tcPr>
          <w:p>
            <w:pPr>
              <w:jc w:val="left"/>
            </w:pPr>
            <w:r/>
            <w:r>
              <w:rPr>
                <w:rFonts w:ascii="Times New Roman" w:hAnsi="Times New Roman"/>
                <w:b w:val="0"/>
                <w:sz w:val="20"/>
              </w:rPr>
              <w:t>AF/yr</w:t>
            </w:r>
          </w:p>
        </w:tc>
      </w:tr>
      <w:tr>
        <w:tc>
          <w:tcPr>
            <w:tcW w:type="dxa" w:w="3024"/>
          </w:tcPr>
          <w:p>
            <w:pPr>
              <w:jc w:val="left"/>
            </w:pPr>
            <w:r/>
            <w:r>
              <w:rPr>
                <w:rFonts w:ascii="Times New Roman" w:hAnsi="Times New Roman"/>
                <w:b w:val="0"/>
                <w:sz w:val="20"/>
              </w:rPr>
              <w:t>w_i</w:t>
            </w:r>
          </w:p>
        </w:tc>
        <w:tc>
          <w:tcPr>
            <w:tcW w:type="dxa" w:w="3024"/>
          </w:tcPr>
          <w:p>
            <w:pPr>
              <w:jc w:val="left"/>
            </w:pPr>
            <w:r/>
            <w:r>
              <w:rPr>
                <w:rFonts w:ascii="Times New Roman" w:hAnsi="Times New Roman"/>
                <w:b w:val="0"/>
                <w:sz w:val="20"/>
              </w:rPr>
              <w:t>Agent i legal water right</w:t>
            </w:r>
          </w:p>
        </w:tc>
        <w:tc>
          <w:tcPr>
            <w:tcW w:type="dxa" w:w="3024"/>
          </w:tcPr>
          <w:p>
            <w:pPr>
              <w:jc w:val="left"/>
            </w:pPr>
            <w:r/>
            <w:r>
              <w:rPr>
                <w:rFonts w:ascii="Times New Roman" w:hAnsi="Times New Roman"/>
                <w:b w:val="0"/>
                <w:sz w:val="20"/>
              </w:rPr>
              <w:t>AF/yr</w:t>
            </w:r>
          </w:p>
        </w:tc>
      </w:tr>
      <w:tr>
        <w:tc>
          <w:tcPr>
            <w:tcW w:type="dxa" w:w="3024"/>
          </w:tcPr>
          <w:p>
            <w:pPr>
              <w:jc w:val="left"/>
            </w:pPr>
            <w:r/>
            <w:r>
              <w:rPr>
                <w:rFonts w:ascii="Times New Roman" w:hAnsi="Times New Roman"/>
                <w:b w:val="0"/>
                <w:sz w:val="20"/>
              </w:rPr>
              <w:t>\gamma_{\tau}</w:t>
            </w:r>
          </w:p>
        </w:tc>
        <w:tc>
          <w:tcPr>
            <w:tcW w:type="dxa" w:w="3024"/>
          </w:tcPr>
          <w:p>
            <w:pPr>
              <w:jc w:val="left"/>
            </w:pPr>
            <w:r/>
            <w:r>
              <w:rPr>
                <w:rFonts w:ascii="Times New Roman" w:hAnsi="Times New Roman"/>
                <w:b w:val="0"/>
                <w:sz w:val="20"/>
              </w:rPr>
              <w:t>Curtailment ratio for shortage tier \tau</w:t>
            </w:r>
          </w:p>
        </w:tc>
        <w:tc>
          <w:tcPr>
            <w:tcW w:type="dxa" w:w="3024"/>
          </w:tcPr>
          <w:p>
            <w:pPr>
              <w:jc w:val="left"/>
            </w:pPr>
            <w:r/>
            <w:r>
              <w:rPr>
                <w:rFonts w:ascii="Times New Roman" w:hAnsi="Times New Roman"/>
                <w:b w:val="0"/>
                <w:sz w:val="20"/>
              </w:rPr>
              <w:t>dimensionless</w:t>
            </w:r>
          </w:p>
        </w:tc>
      </w:tr>
      <w:tr>
        <w:tc>
          <w:tcPr>
            <w:tcW w:type="dxa" w:w="3024"/>
          </w:tcPr>
          <w:p>
            <w:pPr>
              <w:jc w:val="left"/>
            </w:pPr>
            <w:r/>
            <w:r>
              <w:rPr>
                <w:rFonts w:ascii="Times New Roman" w:hAnsi="Times New Roman"/>
                <w:b w:val="0"/>
                <w:sz w:val="20"/>
              </w:rPr>
              <w:t>d_i</w:t>
            </w:r>
          </w:p>
        </w:tc>
        <w:tc>
          <w:tcPr>
            <w:tcW w:type="dxa" w:w="3024"/>
          </w:tcPr>
          <w:p>
            <w:pPr>
              <w:jc w:val="left"/>
            </w:pPr>
            <w:r/>
            <w:r>
              <w:rPr>
                <w:rFonts w:ascii="Times New Roman" w:hAnsi="Times New Roman"/>
                <w:b w:val="0"/>
                <w:sz w:val="20"/>
              </w:rPr>
              <w:t>Agent i actual diversion</w:t>
            </w:r>
          </w:p>
        </w:tc>
        <w:tc>
          <w:tcPr>
            <w:tcW w:type="dxa" w:w="3024"/>
          </w:tcPr>
          <w:p>
            <w:pPr>
              <w:jc w:val="left"/>
            </w:pPr>
            <w:r/>
            <w:r>
              <w:rPr>
                <w:rFonts w:ascii="Times New Roman" w:hAnsi="Times New Roman"/>
                <w:b w:val="0"/>
                <w:sz w:val="20"/>
              </w:rPr>
              <w:t>AF/yr</w:t>
            </w:r>
          </w:p>
        </w:tc>
      </w:tr>
    </w:tbl>
    <w:p/>
    <w:p>
      <w:pPr>
        <w:pStyle w:val="Heading2"/>
      </w:pPr>
      <w:r>
        <w:rPr>
          <w:rFonts w:ascii="Times New Roman" w:hAnsi="Times New Roman"/>
          <w:color w:val="000000"/>
        </w:rPr>
        <w:t>S8.5 Elevation-Storage Relationship</w:t>
      </w:r>
    </w:p>
    <w:p>
      <w:pPr>
        <w:spacing w:after="120" w:line="480" w:lineRule="auto"/>
      </w:pPr>
      <w:r>
        <w:rPr>
          <w:rFonts w:ascii="Times New Roman" w:hAnsi="Times New Roman"/>
          <w:sz w:val="24"/>
        </w:rPr>
        <w:t>Lake Mead elevation (ft above sea level) is converted to and from storage (MAF) via linear interpolation of the USBR empirical curve:</w:t>
      </w:r>
    </w:p>
    <w:tbl>
      <w:tblPr>
        <w:tblStyle w:val="TableGrid"/>
        <w:tblW w:type="auto" w:w="0"/>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tcPr>
          <w:p>
            <w:pPr>
              <w:jc w:val="left"/>
            </w:pPr>
            <w:r/>
            <w:r>
              <w:rPr>
                <w:rFonts w:ascii="Times New Roman" w:hAnsi="Times New Roman"/>
                <w:b/>
                <w:sz w:val="20"/>
              </w:rPr>
              <w:t>Storage (MAF)</w:t>
            </w:r>
          </w:p>
        </w:tc>
        <w:tc>
          <w:tcPr>
            <w:tcW w:type="dxa" w:w="825"/>
          </w:tcPr>
          <w:p>
            <w:pPr>
              <w:jc w:val="left"/>
            </w:pPr>
            <w:r/>
            <w:r>
              <w:rPr>
                <w:rFonts w:ascii="Times New Roman" w:hAnsi="Times New Roman"/>
                <w:b/>
                <w:sz w:val="20"/>
              </w:rPr>
              <w:t>2.0</w:t>
            </w:r>
          </w:p>
        </w:tc>
        <w:tc>
          <w:tcPr>
            <w:tcW w:type="dxa" w:w="825"/>
          </w:tcPr>
          <w:p>
            <w:pPr>
              <w:jc w:val="left"/>
            </w:pPr>
            <w:r/>
            <w:r>
              <w:rPr>
                <w:rFonts w:ascii="Times New Roman" w:hAnsi="Times New Roman"/>
                <w:b/>
                <w:sz w:val="20"/>
              </w:rPr>
              <w:t>3.6</w:t>
            </w:r>
          </w:p>
        </w:tc>
        <w:tc>
          <w:tcPr>
            <w:tcW w:type="dxa" w:w="825"/>
          </w:tcPr>
          <w:p>
            <w:pPr>
              <w:jc w:val="left"/>
            </w:pPr>
            <w:r/>
            <w:r>
              <w:rPr>
                <w:rFonts w:ascii="Times New Roman" w:hAnsi="Times New Roman"/>
                <w:b/>
                <w:sz w:val="20"/>
              </w:rPr>
              <w:t>5.8</w:t>
            </w:r>
          </w:p>
        </w:tc>
        <w:tc>
          <w:tcPr>
            <w:tcW w:type="dxa" w:w="825"/>
          </w:tcPr>
          <w:p>
            <w:pPr>
              <w:jc w:val="left"/>
            </w:pPr>
            <w:r/>
            <w:r>
              <w:rPr>
                <w:rFonts w:ascii="Times New Roman" w:hAnsi="Times New Roman"/>
                <w:b/>
                <w:sz w:val="20"/>
              </w:rPr>
              <w:t>8.0</w:t>
            </w:r>
          </w:p>
        </w:tc>
        <w:tc>
          <w:tcPr>
            <w:tcW w:type="dxa" w:w="825"/>
          </w:tcPr>
          <w:p>
            <w:pPr>
              <w:jc w:val="left"/>
            </w:pPr>
            <w:r/>
            <w:r>
              <w:rPr>
                <w:rFonts w:ascii="Times New Roman" w:hAnsi="Times New Roman"/>
                <w:b/>
                <w:sz w:val="20"/>
              </w:rPr>
              <w:t>9.5</w:t>
            </w:r>
          </w:p>
        </w:tc>
        <w:tc>
          <w:tcPr>
            <w:tcW w:type="dxa" w:w="825"/>
          </w:tcPr>
          <w:p>
            <w:pPr>
              <w:jc w:val="left"/>
            </w:pPr>
            <w:r/>
            <w:r>
              <w:rPr>
                <w:rFonts w:ascii="Times New Roman" w:hAnsi="Times New Roman"/>
                <w:b/>
                <w:sz w:val="20"/>
              </w:rPr>
              <w:t>11.0</w:t>
            </w:r>
          </w:p>
        </w:tc>
        <w:tc>
          <w:tcPr>
            <w:tcW w:type="dxa" w:w="825"/>
          </w:tcPr>
          <w:p>
            <w:pPr>
              <w:jc w:val="left"/>
            </w:pPr>
            <w:r/>
            <w:r>
              <w:rPr>
                <w:rFonts w:ascii="Times New Roman" w:hAnsi="Times New Roman"/>
                <w:b/>
                <w:sz w:val="20"/>
              </w:rPr>
              <w:t>13.0</w:t>
            </w:r>
          </w:p>
        </w:tc>
        <w:tc>
          <w:tcPr>
            <w:tcW w:type="dxa" w:w="825"/>
          </w:tcPr>
          <w:p>
            <w:pPr>
              <w:jc w:val="left"/>
            </w:pPr>
            <w:r/>
            <w:r>
              <w:rPr>
                <w:rFonts w:ascii="Times New Roman" w:hAnsi="Times New Roman"/>
                <w:b/>
                <w:sz w:val="20"/>
              </w:rPr>
              <w:t>17.5</w:t>
            </w:r>
          </w:p>
        </w:tc>
        <w:tc>
          <w:tcPr>
            <w:tcW w:type="dxa" w:w="825"/>
          </w:tcPr>
          <w:p>
            <w:pPr>
              <w:jc w:val="left"/>
            </w:pPr>
            <w:r/>
            <w:r>
              <w:rPr>
                <w:rFonts w:ascii="Times New Roman" w:hAnsi="Times New Roman"/>
                <w:b/>
                <w:sz w:val="20"/>
              </w:rPr>
              <w:t>23.3</w:t>
            </w:r>
          </w:p>
        </w:tc>
        <w:tc>
          <w:tcPr>
            <w:tcW w:type="dxa" w:w="825"/>
          </w:tcPr>
          <w:p>
            <w:pPr>
              <w:jc w:val="left"/>
            </w:pPr>
            <w:r/>
            <w:r>
              <w:rPr>
                <w:rFonts w:ascii="Times New Roman" w:hAnsi="Times New Roman"/>
                <w:b/>
                <w:sz w:val="20"/>
              </w:rPr>
              <w:t>26.1</w:t>
            </w:r>
          </w:p>
        </w:tc>
      </w:tr>
      <w:tr>
        <w:tc>
          <w:tcPr>
            <w:tcW w:type="dxa" w:w="825"/>
          </w:tcPr>
          <w:p>
            <w:pPr>
              <w:jc w:val="left"/>
            </w:pPr>
            <w:r/>
            <w:r>
              <w:rPr>
                <w:rFonts w:ascii="Times New Roman" w:hAnsi="Times New Roman"/>
                <w:b w:val="0"/>
                <w:sz w:val="20"/>
              </w:rPr>
              <w:t>Elevation (ft)</w:t>
            </w:r>
          </w:p>
        </w:tc>
        <w:tc>
          <w:tcPr>
            <w:tcW w:type="dxa" w:w="825"/>
          </w:tcPr>
          <w:p>
            <w:pPr>
              <w:jc w:val="left"/>
            </w:pPr>
            <w:r/>
            <w:r>
              <w:rPr>
                <w:rFonts w:ascii="Times New Roman" w:hAnsi="Times New Roman"/>
                <w:b w:val="0"/>
                <w:sz w:val="20"/>
              </w:rPr>
              <w:t>895</w:t>
            </w:r>
          </w:p>
        </w:tc>
        <w:tc>
          <w:tcPr>
            <w:tcW w:type="dxa" w:w="825"/>
          </w:tcPr>
          <w:p>
            <w:pPr>
              <w:jc w:val="left"/>
            </w:pPr>
            <w:r/>
            <w:r>
              <w:rPr>
                <w:rFonts w:ascii="Times New Roman" w:hAnsi="Times New Roman"/>
                <w:b w:val="0"/>
                <w:sz w:val="20"/>
              </w:rPr>
              <w:t>950</w:t>
            </w:r>
          </w:p>
        </w:tc>
        <w:tc>
          <w:tcPr>
            <w:tcW w:type="dxa" w:w="825"/>
          </w:tcPr>
          <w:p>
            <w:pPr>
              <w:jc w:val="left"/>
            </w:pPr>
            <w:r/>
            <w:r>
              <w:rPr>
                <w:rFonts w:ascii="Times New Roman" w:hAnsi="Times New Roman"/>
                <w:b w:val="0"/>
                <w:sz w:val="20"/>
              </w:rPr>
              <w:t>1000</w:t>
            </w:r>
          </w:p>
        </w:tc>
        <w:tc>
          <w:tcPr>
            <w:tcW w:type="dxa" w:w="825"/>
          </w:tcPr>
          <w:p>
            <w:pPr>
              <w:jc w:val="left"/>
            </w:pPr>
            <w:r/>
            <w:r>
              <w:rPr>
                <w:rFonts w:ascii="Times New Roman" w:hAnsi="Times New Roman"/>
                <w:b w:val="0"/>
                <w:sz w:val="20"/>
              </w:rPr>
              <w:t>1025</w:t>
            </w:r>
          </w:p>
        </w:tc>
        <w:tc>
          <w:tcPr>
            <w:tcW w:type="dxa" w:w="825"/>
          </w:tcPr>
          <w:p>
            <w:pPr>
              <w:jc w:val="left"/>
            </w:pPr>
            <w:r/>
            <w:r>
              <w:rPr>
                <w:rFonts w:ascii="Times New Roman" w:hAnsi="Times New Roman"/>
                <w:b w:val="0"/>
                <w:sz w:val="20"/>
              </w:rPr>
              <w:t>1050</w:t>
            </w:r>
          </w:p>
        </w:tc>
        <w:tc>
          <w:tcPr>
            <w:tcW w:type="dxa" w:w="825"/>
          </w:tcPr>
          <w:p>
            <w:pPr>
              <w:jc w:val="left"/>
            </w:pPr>
            <w:r/>
            <w:r>
              <w:rPr>
                <w:rFonts w:ascii="Times New Roman" w:hAnsi="Times New Roman"/>
                <w:b w:val="0"/>
                <w:sz w:val="20"/>
              </w:rPr>
              <w:t>1075</w:t>
            </w:r>
          </w:p>
        </w:tc>
        <w:tc>
          <w:tcPr>
            <w:tcW w:type="dxa" w:w="825"/>
          </w:tcPr>
          <w:p>
            <w:pPr>
              <w:jc w:val="left"/>
            </w:pPr>
            <w:r/>
            <w:r>
              <w:rPr>
                <w:rFonts w:ascii="Times New Roman" w:hAnsi="Times New Roman"/>
                <w:b w:val="0"/>
                <w:sz w:val="20"/>
              </w:rPr>
              <w:t>1100</w:t>
            </w:r>
          </w:p>
        </w:tc>
        <w:tc>
          <w:tcPr>
            <w:tcW w:type="dxa" w:w="825"/>
          </w:tcPr>
          <w:p>
            <w:pPr>
              <w:jc w:val="left"/>
            </w:pPr>
            <w:r/>
            <w:r>
              <w:rPr>
                <w:rFonts w:ascii="Times New Roman" w:hAnsi="Times New Roman"/>
                <w:b w:val="0"/>
                <w:sz w:val="20"/>
              </w:rPr>
              <w:t>1150</w:t>
            </w:r>
          </w:p>
        </w:tc>
        <w:tc>
          <w:tcPr>
            <w:tcW w:type="dxa" w:w="825"/>
          </w:tcPr>
          <w:p>
            <w:pPr>
              <w:jc w:val="left"/>
            </w:pPr>
            <w:r/>
            <w:r>
              <w:rPr>
                <w:rFonts w:ascii="Times New Roman" w:hAnsi="Times New Roman"/>
                <w:b w:val="0"/>
                <w:sz w:val="20"/>
              </w:rPr>
              <w:t>1200</w:t>
            </w:r>
          </w:p>
        </w:tc>
        <w:tc>
          <w:tcPr>
            <w:tcW w:type="dxa" w:w="825"/>
          </w:tcPr>
          <w:p>
            <w:pPr>
              <w:jc w:val="left"/>
            </w:pPr>
            <w:r/>
            <w:r>
              <w:rPr>
                <w:rFonts w:ascii="Times New Roman" w:hAnsi="Times New Roman"/>
                <w:b w:val="0"/>
                <w:sz w:val="20"/>
              </w:rPr>
              <w:t>1220</w:t>
            </w:r>
          </w:p>
        </w:tc>
      </w:tr>
    </w:tbl>
    <w:p/>
    <w:p>
      <w:pPr>
        <w:pStyle w:val="Heading2"/>
      </w:pPr>
      <w:r>
        <w:rPr>
          <w:rFonts w:ascii="Times New Roman" w:hAnsi="Times New Roman"/>
          <w:color w:val="000000"/>
        </w:rPr>
        <w:t>S8.6 Shortage Tier Mapping</w:t>
      </w:r>
    </w:p>
    <w:p>
      <w:pPr>
        <w:spacing w:after="120" w:line="480" w:lineRule="auto"/>
      </w:pPr>
      <w:r>
        <w:rPr>
          <w:rFonts w:ascii="Times New Roman" w:hAnsi="Times New Roman"/>
          <w:sz w:val="24"/>
        </w:rPr>
        <w:t>Bureau of Reclamation shortage tiers are determined by Lake Mead elevation:</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jc w:val="left"/>
            </w:pPr>
            <w:r/>
            <w:r>
              <w:rPr>
                <w:rFonts w:ascii="Times New Roman" w:hAnsi="Times New Roman"/>
                <w:b/>
                <w:sz w:val="20"/>
              </w:rPr>
              <w:t>Tier</w:t>
            </w:r>
          </w:p>
        </w:tc>
        <w:tc>
          <w:tcPr>
            <w:tcW w:type="dxa" w:w="3024"/>
          </w:tcPr>
          <w:p>
            <w:pPr>
              <w:jc w:val="left"/>
            </w:pPr>
            <w:r/>
            <w:r>
              <w:rPr>
                <w:rFonts w:ascii="Times New Roman" w:hAnsi="Times New Roman"/>
                <w:b/>
                <w:sz w:val="20"/>
              </w:rPr>
              <w:t>Elevation Threshold</w:t>
            </w:r>
          </w:p>
        </w:tc>
        <w:tc>
          <w:tcPr>
            <w:tcW w:type="dxa" w:w="3024"/>
          </w:tcPr>
          <w:p>
            <w:pPr>
              <w:jc w:val="left"/>
            </w:pPr>
            <w:r/>
            <w:r>
              <w:rPr>
                <w:rFonts w:ascii="Times New Roman" w:hAnsi="Times New Roman"/>
                <w:b/>
                <w:sz w:val="20"/>
              </w:rPr>
              <w:t>Curtailment Ratio</w:t>
            </w:r>
          </w:p>
        </w:tc>
      </w:tr>
      <w:tr>
        <w:tc>
          <w:tcPr>
            <w:tcW w:type="dxa" w:w="3024"/>
          </w:tcPr>
          <w:p>
            <w:pPr>
              <w:jc w:val="left"/>
            </w:pPr>
            <w:r/>
            <w:r>
              <w:rPr>
                <w:rFonts w:ascii="Times New Roman" w:hAnsi="Times New Roman"/>
                <w:b w:val="0"/>
                <w:sz w:val="20"/>
              </w:rPr>
              <w:t>0 (Normal)</w:t>
            </w:r>
          </w:p>
        </w:tc>
        <w:tc>
          <w:tcPr>
            <w:tcW w:type="dxa" w:w="3024"/>
          </w:tcPr>
          <w:p>
            <w:pPr>
              <w:jc w:val="left"/>
            </w:pPr>
            <w:r/>
            <w:r>
              <w:rPr>
                <w:rFonts w:ascii="Times New Roman" w:hAnsi="Times New Roman"/>
                <w:b w:val="0"/>
                <w:sz w:val="20"/>
              </w:rPr>
              <w:t>Mead \geq 1075 ft</w:t>
            </w:r>
          </w:p>
        </w:tc>
        <w:tc>
          <w:tcPr>
            <w:tcW w:type="dxa" w:w="3024"/>
          </w:tcPr>
          <w:p>
            <w:pPr>
              <w:jc w:val="left"/>
            </w:pPr>
            <w:r/>
            <w:r>
              <w:rPr>
                <w:rFonts w:ascii="Times New Roman" w:hAnsi="Times New Roman"/>
                <w:b w:val="0"/>
                <w:sz w:val="20"/>
              </w:rPr>
              <w:t>0%</w:t>
            </w:r>
          </w:p>
        </w:tc>
      </w:tr>
      <w:tr>
        <w:tc>
          <w:tcPr>
            <w:tcW w:type="dxa" w:w="3024"/>
          </w:tcPr>
          <w:p>
            <w:pPr>
              <w:jc w:val="left"/>
            </w:pPr>
            <w:r/>
            <w:r>
              <w:rPr>
                <w:rFonts w:ascii="Times New Roman" w:hAnsi="Times New Roman"/>
                <w:b w:val="0"/>
                <w:sz w:val="20"/>
              </w:rPr>
              <w:t>1</w:t>
            </w:r>
          </w:p>
        </w:tc>
        <w:tc>
          <w:tcPr>
            <w:tcW w:type="dxa" w:w="3024"/>
          </w:tcPr>
          <w:p>
            <w:pPr>
              <w:jc w:val="left"/>
            </w:pPr>
            <w:r/>
            <w:r>
              <w:rPr>
                <w:rFonts w:ascii="Times New Roman" w:hAnsi="Times New Roman"/>
                <w:b w:val="0"/>
                <w:sz w:val="20"/>
              </w:rPr>
              <w:t>1050 &lt; Mead \leq 1075 ft</w:t>
            </w:r>
          </w:p>
        </w:tc>
        <w:tc>
          <w:tcPr>
            <w:tcW w:type="dxa" w:w="3024"/>
          </w:tcPr>
          <w:p>
            <w:pPr>
              <w:jc w:val="left"/>
            </w:pPr>
            <w:r/>
            <w:r>
              <w:rPr>
                <w:rFonts w:ascii="Times New Roman" w:hAnsi="Times New Roman"/>
                <w:b w:val="0"/>
                <w:sz w:val="20"/>
              </w:rPr>
              <w:t>5%</w:t>
            </w:r>
          </w:p>
        </w:tc>
      </w:tr>
      <w:tr>
        <w:tc>
          <w:tcPr>
            <w:tcW w:type="dxa" w:w="3024"/>
          </w:tcPr>
          <w:p>
            <w:pPr>
              <w:jc w:val="left"/>
            </w:pPr>
            <w:r/>
            <w:r>
              <w:rPr>
                <w:rFonts w:ascii="Times New Roman" w:hAnsi="Times New Roman"/>
                <w:b w:val="0"/>
                <w:sz w:val="20"/>
              </w:rPr>
              <w:t>2</w:t>
            </w:r>
          </w:p>
        </w:tc>
        <w:tc>
          <w:tcPr>
            <w:tcW w:type="dxa" w:w="3024"/>
          </w:tcPr>
          <w:p>
            <w:pPr>
              <w:jc w:val="left"/>
            </w:pPr>
            <w:r/>
            <w:r>
              <w:rPr>
                <w:rFonts w:ascii="Times New Roman" w:hAnsi="Times New Roman"/>
                <w:b w:val="0"/>
                <w:sz w:val="20"/>
              </w:rPr>
              <w:t>1025 &lt; Mead \leq 1050 ft</w:t>
            </w:r>
          </w:p>
        </w:tc>
        <w:tc>
          <w:tcPr>
            <w:tcW w:type="dxa" w:w="3024"/>
          </w:tcPr>
          <w:p>
            <w:pPr>
              <w:jc w:val="left"/>
            </w:pPr>
            <w:r/>
            <w:r>
              <w:rPr>
                <w:rFonts w:ascii="Times New Roman" w:hAnsi="Times New Roman"/>
                <w:b w:val="0"/>
                <w:sz w:val="20"/>
              </w:rPr>
              <w:t>10%</w:t>
            </w:r>
          </w:p>
        </w:tc>
      </w:tr>
      <w:tr>
        <w:tc>
          <w:tcPr>
            <w:tcW w:type="dxa" w:w="3024"/>
          </w:tcPr>
          <w:p>
            <w:pPr>
              <w:jc w:val="left"/>
            </w:pPr>
            <w:r/>
            <w:r>
              <w:rPr>
                <w:rFonts w:ascii="Times New Roman" w:hAnsi="Times New Roman"/>
                <w:b w:val="0"/>
                <w:sz w:val="20"/>
              </w:rPr>
              <w:t>3 (Severe)</w:t>
            </w:r>
          </w:p>
        </w:tc>
        <w:tc>
          <w:tcPr>
            <w:tcW w:type="dxa" w:w="3024"/>
          </w:tcPr>
          <w:p>
            <w:pPr>
              <w:jc w:val="left"/>
            </w:pPr>
            <w:r/>
            <w:r>
              <w:rPr>
                <w:rFonts w:ascii="Times New Roman" w:hAnsi="Times New Roman"/>
                <w:b w:val="0"/>
                <w:sz w:val="20"/>
              </w:rPr>
              <w:t>Mead \leq 1025 ft</w:t>
            </w:r>
          </w:p>
        </w:tc>
        <w:tc>
          <w:tcPr>
            <w:tcW w:type="dxa" w:w="3024"/>
          </w:tcPr>
          <w:p>
            <w:pPr>
              <w:jc w:val="left"/>
            </w:pPr>
            <w:r/>
            <w:r>
              <w:rPr>
                <w:rFonts w:ascii="Times New Roman" w:hAnsi="Times New Roman"/>
                <w:b w:val="0"/>
                <w:sz w:val="20"/>
              </w:rPr>
              <w:t>20%</w:t>
            </w:r>
          </w:p>
        </w:tc>
      </w:tr>
    </w:tbl>
    <w:p/>
    <w:p>
      <w:pPr>
        <w:spacing w:after="120" w:line="480" w:lineRule="auto"/>
      </w:pPr>
      <w:r>
        <w:rPr>
          <w:rFonts w:ascii="Times New Roman" w:hAnsi="Times New Roman"/>
          <w:sz w:val="24"/>
        </w:rPr>
        <w:t>Production results (v20, 78 agents × 42 years): Tier 0 in 30 years, Tier 1 in 5 years, Tier 2 in 2 years, Tier 3 in 5 years. Lake Mead elevation range: 1003.1–1178.7 ft.</w:t>
      </w:r>
    </w:p>
    <w:p>
      <w:pPr>
        <w:pStyle w:val="Heading2"/>
      </w:pPr>
      <w:r>
        <w:rPr>
          <w:rFonts w:ascii="Times New Roman" w:hAnsi="Times New Roman"/>
          <w:color w:val="000000"/>
        </w:rPr>
        <w:t>S8.7 Mexico DCP Reductions</w:t>
      </w:r>
    </w:p>
    <w:p>
      <w:pPr>
        <w:spacing w:after="120" w:line="480" w:lineRule="auto"/>
      </w:pPr>
      <w:r>
        <w:rPr>
          <w:rFonts w:ascii="Times New Roman" w:hAnsi="Times New Roman"/>
          <w:sz w:val="24"/>
        </w:rPr>
        <w:t>Mexico treaty deliveries follow Minute 323 tiered reductions (IBWC, 2017):</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jc w:val="left"/>
            </w:pPr>
            <w:r/>
            <w:r>
              <w:rPr>
                <w:rFonts w:ascii="Times New Roman" w:hAnsi="Times New Roman"/>
                <w:b/>
                <w:sz w:val="20"/>
              </w:rPr>
              <w:t>Lake Mead Elevation</w:t>
            </w:r>
          </w:p>
        </w:tc>
        <w:tc>
          <w:tcPr>
            <w:tcW w:type="dxa" w:w="3024"/>
          </w:tcPr>
          <w:p>
            <w:pPr>
              <w:jc w:val="left"/>
            </w:pPr>
            <w:r/>
            <w:r>
              <w:rPr>
                <w:rFonts w:ascii="Times New Roman" w:hAnsi="Times New Roman"/>
                <w:b/>
                <w:sz w:val="20"/>
              </w:rPr>
              <w:t>Base Delivery (MAF/yr)</w:t>
            </w:r>
          </w:p>
        </w:tc>
        <w:tc>
          <w:tcPr>
            <w:tcW w:type="dxa" w:w="3024"/>
          </w:tcPr>
          <w:p>
            <w:pPr>
              <w:jc w:val="left"/>
            </w:pPr>
            <w:r/>
            <w:r>
              <w:rPr>
                <w:rFonts w:ascii="Times New Roman" w:hAnsi="Times New Roman"/>
                <w:b/>
                <w:sz w:val="20"/>
              </w:rPr>
              <w:t>Reduction (MAF/yr)</w:t>
            </w:r>
          </w:p>
        </w:tc>
      </w:tr>
      <w:tr>
        <w:tc>
          <w:tcPr>
            <w:tcW w:type="dxa" w:w="3024"/>
          </w:tcPr>
          <w:p>
            <w:pPr>
              <w:jc w:val="left"/>
            </w:pPr>
            <w:r/>
            <w:r>
              <w:rPr>
                <w:rFonts w:ascii="Times New Roman" w:hAnsi="Times New Roman"/>
                <w:b w:val="0"/>
                <w:sz w:val="20"/>
              </w:rPr>
              <w:t>\geq 1090 ft</w:t>
            </w:r>
          </w:p>
        </w:tc>
        <w:tc>
          <w:tcPr>
            <w:tcW w:type="dxa" w:w="3024"/>
          </w:tcPr>
          <w:p>
            <w:pPr>
              <w:jc w:val="left"/>
            </w:pPr>
            <w:r/>
            <w:r>
              <w:rPr>
                <w:rFonts w:ascii="Times New Roman" w:hAnsi="Times New Roman"/>
                <w:b w:val="0"/>
                <w:sz w:val="20"/>
              </w:rPr>
              <w:t>1.500</w:t>
            </w:r>
          </w:p>
        </w:tc>
        <w:tc>
          <w:tcPr>
            <w:tcW w:type="dxa" w:w="3024"/>
          </w:tcPr>
          <w:p>
            <w:pPr>
              <w:jc w:val="left"/>
            </w:pPr>
            <w:r/>
            <w:r>
              <w:rPr>
                <w:rFonts w:ascii="Times New Roman" w:hAnsi="Times New Roman"/>
                <w:b w:val="0"/>
                <w:sz w:val="20"/>
              </w:rPr>
              <w:t>0</w:t>
            </w:r>
          </w:p>
        </w:tc>
      </w:tr>
      <w:tr>
        <w:tc>
          <w:tcPr>
            <w:tcW w:type="dxa" w:w="3024"/>
          </w:tcPr>
          <w:p>
            <w:pPr>
              <w:jc w:val="left"/>
            </w:pPr>
            <w:r/>
            <w:r>
              <w:rPr>
                <w:rFonts w:ascii="Times New Roman" w:hAnsi="Times New Roman"/>
                <w:b w:val="0"/>
                <w:sz w:val="20"/>
              </w:rPr>
              <w:t>1075–1090 ft</w:t>
            </w:r>
          </w:p>
        </w:tc>
        <w:tc>
          <w:tcPr>
            <w:tcW w:type="dxa" w:w="3024"/>
          </w:tcPr>
          <w:p>
            <w:pPr>
              <w:jc w:val="left"/>
            </w:pPr>
            <w:r/>
            <w:r>
              <w:rPr>
                <w:rFonts w:ascii="Times New Roman" w:hAnsi="Times New Roman"/>
                <w:b w:val="0"/>
                <w:sz w:val="20"/>
              </w:rPr>
              <w:t>1.459</w:t>
            </w:r>
          </w:p>
        </w:tc>
        <w:tc>
          <w:tcPr>
            <w:tcW w:type="dxa" w:w="3024"/>
          </w:tcPr>
          <w:p>
            <w:pPr>
              <w:jc w:val="left"/>
            </w:pPr>
            <w:r/>
            <w:r>
              <w:rPr>
                <w:rFonts w:ascii="Times New Roman" w:hAnsi="Times New Roman"/>
                <w:b w:val="0"/>
                <w:sz w:val="20"/>
              </w:rPr>
              <w:t>0.041</w:t>
            </w:r>
          </w:p>
        </w:tc>
      </w:tr>
      <w:tr>
        <w:tc>
          <w:tcPr>
            <w:tcW w:type="dxa" w:w="3024"/>
          </w:tcPr>
          <w:p>
            <w:pPr>
              <w:jc w:val="left"/>
            </w:pPr>
            <w:r/>
            <w:r>
              <w:rPr>
                <w:rFonts w:ascii="Times New Roman" w:hAnsi="Times New Roman"/>
                <w:b w:val="0"/>
                <w:sz w:val="20"/>
              </w:rPr>
              <w:t>1050–1075 ft</w:t>
            </w:r>
          </w:p>
        </w:tc>
        <w:tc>
          <w:tcPr>
            <w:tcW w:type="dxa" w:w="3024"/>
          </w:tcPr>
          <w:p>
            <w:pPr>
              <w:jc w:val="left"/>
            </w:pPr>
            <w:r/>
            <w:r>
              <w:rPr>
                <w:rFonts w:ascii="Times New Roman" w:hAnsi="Times New Roman"/>
                <w:b w:val="0"/>
                <w:sz w:val="20"/>
              </w:rPr>
              <w:t>1.375</w:t>
            </w:r>
          </w:p>
        </w:tc>
        <w:tc>
          <w:tcPr>
            <w:tcW w:type="dxa" w:w="3024"/>
          </w:tcPr>
          <w:p>
            <w:pPr>
              <w:jc w:val="left"/>
            </w:pPr>
            <w:r/>
            <w:r>
              <w:rPr>
                <w:rFonts w:ascii="Times New Roman" w:hAnsi="Times New Roman"/>
                <w:b w:val="0"/>
                <w:sz w:val="20"/>
              </w:rPr>
              <w:t>0.125</w:t>
            </w:r>
          </w:p>
        </w:tc>
      </w:tr>
      <w:tr>
        <w:tc>
          <w:tcPr>
            <w:tcW w:type="dxa" w:w="3024"/>
          </w:tcPr>
          <w:p>
            <w:pPr>
              <w:jc w:val="left"/>
            </w:pPr>
            <w:r/>
            <w:r>
              <w:rPr>
                <w:rFonts w:ascii="Times New Roman" w:hAnsi="Times New Roman"/>
                <w:b w:val="0"/>
                <w:sz w:val="20"/>
              </w:rPr>
              <w:t>1025–1050 ft</w:t>
            </w:r>
          </w:p>
        </w:tc>
        <w:tc>
          <w:tcPr>
            <w:tcW w:type="dxa" w:w="3024"/>
          </w:tcPr>
          <w:p>
            <w:pPr>
              <w:jc w:val="left"/>
            </w:pPr>
            <w:r/>
            <w:r>
              <w:rPr>
                <w:rFonts w:ascii="Times New Roman" w:hAnsi="Times New Roman"/>
                <w:b w:val="0"/>
                <w:sz w:val="20"/>
              </w:rPr>
              <w:t>1.250</w:t>
            </w:r>
          </w:p>
        </w:tc>
        <w:tc>
          <w:tcPr>
            <w:tcW w:type="dxa" w:w="3024"/>
          </w:tcPr>
          <w:p>
            <w:pPr>
              <w:jc w:val="left"/>
            </w:pPr>
            <w:r/>
            <w:r>
              <w:rPr>
                <w:rFonts w:ascii="Times New Roman" w:hAnsi="Times New Roman"/>
                <w:b w:val="0"/>
                <w:sz w:val="20"/>
              </w:rPr>
              <w:t>0.250</w:t>
            </w:r>
          </w:p>
        </w:tc>
      </w:tr>
      <w:tr>
        <w:tc>
          <w:tcPr>
            <w:tcW w:type="dxa" w:w="3024"/>
          </w:tcPr>
          <w:p>
            <w:pPr>
              <w:jc w:val="left"/>
            </w:pPr>
            <w:r/>
            <w:r>
              <w:rPr>
                <w:rFonts w:ascii="Times New Roman" w:hAnsi="Times New Roman"/>
                <w:b w:val="0"/>
                <w:sz w:val="20"/>
              </w:rPr>
              <w:t>\leq 1025 ft</w:t>
            </w:r>
          </w:p>
        </w:tc>
        <w:tc>
          <w:tcPr>
            <w:tcW w:type="dxa" w:w="3024"/>
          </w:tcPr>
          <w:p>
            <w:pPr>
              <w:jc w:val="left"/>
            </w:pPr>
            <w:r/>
            <w:r>
              <w:rPr>
                <w:rFonts w:ascii="Times New Roman" w:hAnsi="Times New Roman"/>
                <w:b w:val="0"/>
                <w:sz w:val="20"/>
              </w:rPr>
              <w:t>1.225</w:t>
            </w:r>
          </w:p>
        </w:tc>
        <w:tc>
          <w:tcPr>
            <w:tcW w:type="dxa" w:w="3024"/>
          </w:tcPr>
          <w:p>
            <w:pPr>
              <w:jc w:val="left"/>
            </w:pPr>
            <w:r/>
            <w:r>
              <w:rPr>
                <w:rFonts w:ascii="Times New Roman" w:hAnsi="Times New Roman"/>
                <w:b w:val="0"/>
                <w:sz w:val="20"/>
              </w:rPr>
              <w:t>0.275</w:t>
            </w:r>
          </w:p>
        </w:tc>
      </w:tr>
    </w:tbl>
    <w:p/>
    <w:p>
      <w:pPr>
        <w:pStyle w:val="Heading2"/>
      </w:pPr>
      <w:r>
        <w:rPr>
          <w:rFonts w:ascii="Times New Roman" w:hAnsi="Times New Roman"/>
          <w:color w:val="000000"/>
        </w:rPr>
        <w:t>S8.8 Bidirectional Feedback Loop</w:t>
      </w:r>
    </w:p>
    <w:p>
      <w:pPr>
        <w:spacing w:after="120" w:line="480" w:lineRule="auto"/>
      </w:pPr>
      <w:r>
        <w:rPr>
          <w:rFonts w:ascii="Times New Roman" w:hAnsi="Times New Roman"/>
          <w:sz w:val="24"/>
        </w:rPr>
        <w:t>The mass balance creates a fully coupled human-water system with bidirectional feedback, consistent with the socio-hydrology framework (Sivapalan et al., 2012). Agent appraisal constructs (Water Scarcity Assessment, Adaptive Capacity Assessment) follow the cognitive appraisal framework of Lazarus and Folkman (1984), implemented as categorical labels (VL/L/M/H/VH).</w:t>
      </w:r>
    </w:p>
    <w:p>
      <w:pPr>
        <w:pStyle w:val="ListNumber"/>
      </w:pPr>
      <w:r>
        <w:rPr>
          <w:rFonts w:ascii="Times New Roman" w:hAnsi="Times New Roman"/>
          <w:sz w:val="24"/>
        </w:rPr>
        <w:t>1. Agents to reservoir: Each agent selects a skill (increase_large, increase_small, maintain_demand, decrease_small, or decrease_large). The environment samples a magnitude from a persona-scaled Gaussian distribution (Section S7) and computes the new request. After curtailment (Eq. 8), agent diversions aggregate into total Lower Basin and Upper Basin withdrawals (Eq. 9), which enter the mass balance as outflow (D_{\text{LB}}) or as reduced Powell release (D_{\text{UB,eff}}, Eq. 5).</w:t>
      </w:r>
    </w:p>
    <w:p>
      <w:pPr>
        <w:pStyle w:val="ListNumber"/>
      </w:pPr>
      <w:r>
        <w:rPr>
          <w:rFonts w:ascii="Times New Roman" w:hAnsi="Times New Roman"/>
          <w:sz w:val="24"/>
        </w:rPr>
        <w:t>2. Reservoir to agents: Updated storage maps to a new Lake Mead elevation via the USBR curve (S8.5), which determines the shortage tier for the next year (S8.6). Higher tiers trigger stronger curtailment ratios and activate governance rules that block increase skills (e.g., curtailment_awareness blocks increases when curtailment &gt; 0; demand_ceiling_stabilizer blocks increases when total basin demand exceeds 6.0 MAF; see Section S6).</w:t>
      </w:r>
    </w:p>
    <w:p>
      <w:pPr>
        <w:spacing w:after="120" w:line="480" w:lineRule="auto"/>
      </w:pPr>
      <w:r>
        <w:rPr>
          <w:rFonts w:ascii="Times New Roman" w:hAnsi="Times New Roman"/>
          <w:sz w:val="24"/>
        </w:rPr>
        <w:t>This coupling ensures that collective over-extraction lowers Lake Mead, triggering shortage tiers that curtail future diversions and constrain agent choices through governance, while collective conservation raises storage and relaxes constraints. The feedback operates with a one-year lag: diversions during year t determine storage at the start of year t+1.</w:t>
      </w:r>
    </w:p>
    <w:p>
      <w:pPr>
        <w:pStyle w:val="Heading2"/>
      </w:pPr>
      <w:r>
        <w:rPr>
          <w:rFonts w:ascii="Times New Roman" w:hAnsi="Times New Roman"/>
          <w:color w:val="000000"/>
        </w:rPr>
        <w:t>S8.9 Data Sources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jc w:val="left"/>
            </w:pPr>
            <w:r/>
            <w:r>
              <w:rPr>
                <w:rFonts w:ascii="Times New Roman" w:hAnsi="Times New Roman"/>
                <w:b/>
                <w:sz w:val="20"/>
              </w:rPr>
              <w:t>Data</w:t>
            </w:r>
          </w:p>
        </w:tc>
        <w:tc>
          <w:tcPr>
            <w:tcW w:type="dxa" w:w="3024"/>
          </w:tcPr>
          <w:p>
            <w:pPr>
              <w:jc w:val="left"/>
            </w:pPr>
            <w:r/>
            <w:r>
              <w:rPr>
                <w:rFonts w:ascii="Times New Roman" w:hAnsi="Times New Roman"/>
                <w:b/>
                <w:sz w:val="20"/>
              </w:rPr>
              <w:t>Source</w:t>
            </w:r>
          </w:p>
        </w:tc>
        <w:tc>
          <w:tcPr>
            <w:tcW w:type="dxa" w:w="3024"/>
          </w:tcPr>
          <w:p>
            <w:pPr>
              <w:jc w:val="left"/>
            </w:pPr>
            <w:r/>
            <w:r>
              <w:rPr>
                <w:rFonts w:ascii="Times New Roman" w:hAnsi="Times New Roman"/>
                <w:b/>
                <w:sz w:val="20"/>
              </w:rPr>
              <w:t>File</w:t>
            </w:r>
          </w:p>
        </w:tc>
      </w:tr>
      <w:tr>
        <w:tc>
          <w:tcPr>
            <w:tcW w:type="dxa" w:w="3024"/>
          </w:tcPr>
          <w:p>
            <w:pPr>
              <w:jc w:val="left"/>
            </w:pPr>
            <w:r/>
            <w:r>
              <w:rPr>
                <w:rFonts w:ascii="Times New Roman" w:hAnsi="Times New Roman"/>
                <w:b w:val="0"/>
                <w:sz w:val="20"/>
              </w:rPr>
              <w:t>Winter precipitation (2017-2060)</w:t>
            </w:r>
          </w:p>
        </w:tc>
        <w:tc>
          <w:tcPr>
            <w:tcW w:type="dxa" w:w="3024"/>
          </w:tcPr>
          <w:p>
            <w:pPr>
              <w:jc w:val="left"/>
            </w:pPr>
            <w:r/>
            <w:r>
              <w:rPr>
                <w:rFonts w:ascii="Times New Roman" w:hAnsi="Times New Roman"/>
                <w:b w:val="0"/>
                <w:sz w:val="20"/>
              </w:rPr>
              <w:t>CRSS/PRISM NOAA projection</w:t>
            </w:r>
          </w:p>
        </w:tc>
        <w:tc>
          <w:tcPr>
            <w:tcW w:type="dxa" w:w="3024"/>
          </w:tcPr>
          <w:p>
            <w:pPr>
              <w:jc w:val="left"/>
            </w:pPr>
            <w:r/>
            <w:r>
              <w:rPr>
                <w:rFonts w:ascii="Times New Roman" w:hAnsi="Times New Roman"/>
                <w:b w:val="0"/>
                <w:sz w:val="20"/>
              </w:rPr>
              <w:t>PrismWinterPrecip_ST_NOAA_Future.csv</w:t>
            </w:r>
          </w:p>
        </w:tc>
      </w:tr>
      <w:tr>
        <w:tc>
          <w:tcPr>
            <w:tcW w:type="dxa" w:w="3024"/>
          </w:tcPr>
          <w:p>
            <w:pPr>
              <w:jc w:val="left"/>
            </w:pPr>
            <w:r/>
            <w:r>
              <w:rPr>
                <w:rFonts w:ascii="Times New Roman" w:hAnsi="Times New Roman"/>
                <w:b w:val="0"/>
                <w:sz w:val="20"/>
              </w:rPr>
              <w:t>Agent water rights (78 agents)</w:t>
            </w:r>
          </w:p>
        </w:tc>
        <w:tc>
          <w:tcPr>
            <w:tcW w:type="dxa" w:w="3024"/>
          </w:tcPr>
          <w:p>
            <w:pPr>
              <w:jc w:val="left"/>
            </w:pPr>
            <w:r/>
            <w:r>
              <w:rPr>
                <w:rFonts w:ascii="Times New Roman" w:hAnsi="Times New Roman"/>
                <w:b w:val="0"/>
                <w:sz w:val="20"/>
              </w:rPr>
              <w:t>CRSS annual baseline time series</w:t>
            </w:r>
          </w:p>
        </w:tc>
        <w:tc>
          <w:tcPr>
            <w:tcW w:type="dxa" w:w="3024"/>
          </w:tcPr>
          <w:p>
            <w:pPr>
              <w:jc w:val="left"/>
            </w:pPr>
            <w:r/>
            <w:r>
              <w:rPr>
                <w:rFonts w:ascii="Times New Roman" w:hAnsi="Times New Roman"/>
                <w:b w:val="0"/>
                <w:sz w:val="20"/>
              </w:rPr>
              <w:t>annual_baseline_time_series.csv</w:t>
            </w:r>
          </w:p>
        </w:tc>
      </w:tr>
      <w:tr>
        <w:tc>
          <w:tcPr>
            <w:tcW w:type="dxa" w:w="3024"/>
          </w:tcPr>
          <w:p>
            <w:pPr>
              <w:jc w:val="left"/>
            </w:pPr>
            <w:r/>
            <w:r>
              <w:rPr>
                <w:rFonts w:ascii="Times New Roman" w:hAnsi="Times New Roman"/>
                <w:b w:val="0"/>
                <w:sz w:val="20"/>
              </w:rPr>
              <w:t>Lake Mead storage-elevation curve</w:t>
            </w:r>
          </w:p>
        </w:tc>
        <w:tc>
          <w:tcPr>
            <w:tcW w:type="dxa" w:w="3024"/>
          </w:tcPr>
          <w:p>
            <w:pPr>
              <w:jc w:val="left"/>
            </w:pPr>
            <w:r/>
            <w:r>
              <w:rPr>
                <w:rFonts w:ascii="Times New Roman" w:hAnsi="Times New Roman"/>
                <w:b w:val="0"/>
                <w:sz w:val="20"/>
              </w:rPr>
              <w:t>USBR area-capacity tables</w:t>
            </w:r>
          </w:p>
        </w:tc>
        <w:tc>
          <w:tcPr>
            <w:tcW w:type="dxa" w:w="3024"/>
          </w:tcPr>
          <w:p>
            <w:pPr>
              <w:jc w:val="left"/>
            </w:pPr>
            <w:r/>
            <w:r>
              <w:rPr>
                <w:rFonts w:ascii="Times New Roman" w:hAnsi="Times New Roman"/>
                <w:b w:val="0"/>
                <w:sz w:val="20"/>
              </w:rPr>
              <w:t>Hardcoded in irrigation_env.py</w:t>
            </w:r>
          </w:p>
        </w:tc>
      </w:tr>
      <w:tr>
        <w:tc>
          <w:tcPr>
            <w:tcW w:type="dxa" w:w="3024"/>
          </w:tcPr>
          <w:p>
            <w:pPr>
              <w:jc w:val="left"/>
            </w:pPr>
            <w:r/>
            <w:r>
              <w:rPr>
                <w:rFonts w:ascii="Times New Roman" w:hAnsi="Times New Roman"/>
                <w:b w:val="0"/>
                <w:sz w:val="20"/>
              </w:rPr>
              <w:t>Initial Lake Mead elevation</w:t>
            </w:r>
          </w:p>
        </w:tc>
        <w:tc>
          <w:tcPr>
            <w:tcW w:type="dxa" w:w="3024"/>
          </w:tcPr>
          <w:p>
            <w:pPr>
              <w:jc w:val="left"/>
            </w:pPr>
            <w:r/>
            <w:r>
              <w:rPr>
                <w:rFonts w:ascii="Times New Roman" w:hAnsi="Times New Roman"/>
                <w:b w:val="0"/>
                <w:sz w:val="20"/>
              </w:rPr>
              <w:t>USBR observed (Dec 2018)</w:t>
            </w:r>
          </w:p>
        </w:tc>
        <w:tc>
          <w:tcPr>
            <w:tcW w:type="dxa" w:w="3024"/>
          </w:tcPr>
          <w:p>
            <w:pPr>
              <w:jc w:val="left"/>
            </w:pPr>
            <w:r/>
            <w:r>
              <w:rPr>
                <w:rFonts w:ascii="Times New Roman" w:hAnsi="Times New Roman"/>
                <w:b w:val="0"/>
                <w:sz w:val="20"/>
              </w:rPr>
              <w:t>1081.46 ft</w:t>
            </w:r>
          </w:p>
        </w:tc>
      </w:tr>
    </w:tbl>
    <w:p/>
    <w:p>
      <w:pPr>
        <w:spacing w:after="120" w:line="480" w:lineRule="auto"/>
      </w:pPr>
      <w:r>
        <w:rPr>
          <w:rFonts w:ascii="Times New Roman" w:hAnsi="Times New Roman"/>
          <w:sz w:val="24"/>
        </w:rPr>
        <w:t>Precipitation is the sole exogenous climate forcing. All other quantities — natural flow, Lake Mead level, shortage tiers, curtailment ratios — are computed endogenously by the mass balance model. This matches the approach in Hung and Yang (2021).</w:t>
      </w:r>
    </w:p>
    <w:p>
      <w:pPr>
        <w:pStyle w:val="Heading2"/>
      </w:pPr>
      <w:r>
        <w:rPr>
          <w:rFonts w:ascii="Times New Roman" w:hAnsi="Times New Roman"/>
          <w:color w:val="000000"/>
        </w:rPr>
        <w:t>References</w:t>
      </w:r>
    </w:p>
    <w:p>
      <w:pPr>
        <w:spacing w:after="120" w:line="480" w:lineRule="auto"/>
      </w:pPr>
      <w:r>
        <w:rPr>
          <w:rFonts w:ascii="Times New Roman" w:hAnsi="Times New Roman"/>
          <w:sz w:val="24"/>
        </w:rPr>
        <w:t>Hung, W.-C., &amp; Yang, Y. C. E. (2021). Learning to allocate: Managing water in the Colorado River Basin under deep uncertainty. *Water Resources Research*, 57(11), e2020WR029537.</w:t>
      </w:r>
    </w:p>
    <w:p>
      <w:pPr>
        <w:spacing w:after="120" w:line="480" w:lineRule="auto"/>
      </w:pPr>
      <w:r>
        <w:rPr>
          <w:rFonts w:ascii="Times New Roman" w:hAnsi="Times New Roman"/>
          <w:sz w:val="24"/>
        </w:rPr>
        <w:t>IBWC. (2017). Minute 323: Extension of cooperative measures and adoption of a binational water scarcity contingency plan in the Colorado River Basin. International Boundary and Water Commission.</w:t>
      </w:r>
    </w:p>
    <w:p>
      <w:pPr>
        <w:spacing w:after="120" w:line="480" w:lineRule="auto"/>
      </w:pPr>
      <w:r>
        <w:rPr>
          <w:rFonts w:ascii="Times New Roman" w:hAnsi="Times New Roman"/>
          <w:sz w:val="24"/>
        </w:rPr>
        <w:t>Lazarus, R. S., &amp; Folkman, S. (1984). *Stress, appraisal, and coping*. Springer.</w:t>
      </w:r>
    </w:p>
    <w:p>
      <w:pPr>
        <w:spacing w:after="120" w:line="480" w:lineRule="auto"/>
      </w:pPr>
      <w:r>
        <w:rPr>
          <w:rFonts w:ascii="Times New Roman" w:hAnsi="Times New Roman"/>
          <w:sz w:val="24"/>
        </w:rPr>
        <w:t>Sivapalan, M., Savenije, H. H. G., &amp; Blöschl, G. (2012). Socio-hydrology: A new science of people and water. *Hydrological Processes*, 26(8), 1270-1276.</w:t>
      </w:r>
    </w:p>
    <w:p>
      <w:pPr>
        <w:spacing w:after="120" w:line="480" w:lineRule="auto"/>
      </w:pPr>
      <w:r>
        <w:rPr>
          <w:rFonts w:ascii="Times New Roman" w:hAnsi="Times New Roman"/>
          <w:sz w:val="24"/>
        </w:rPr>
        <w:t>USBR. (2019). Colorado River Basin Drought Contingency Plans. U.S. Bureau of Reclamation.</w:t>
      </w:r>
    </w:p>
    <w:p>
      <w:r>
        <w:br w:type="page"/>
      </w:r>
    </w:p>
    <w:p>
      <w:pPr>
        <w:pStyle w:val="Heading2"/>
      </w:pPr>
      <w:r>
        <w:rPr>
          <w:rFonts w:ascii="Times New Roman" w:hAnsi="Times New Roman"/>
          <w:color w:val="000000"/>
        </w:rPr>
        <w:t>S9. Irrigation Governance Summary</w:t>
      </w:r>
    </w:p>
    <w:p>
      <w:pPr>
        <w:pStyle w:val="Heading3"/>
      </w:pPr>
      <w:r>
        <w:rPr>
          <w:rFonts w:ascii="Times New Roman" w:hAnsi="Times New Roman"/>
          <w:color w:val="000000"/>
        </w:rPr>
        <w:t>Table S3: Irrigation ABM Governance Summary (v20 Production)</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jc w:val="left"/>
            </w:pPr>
            <w:r/>
            <w:r>
              <w:rPr>
                <w:rFonts w:ascii="Times New Roman" w:hAnsi="Times New Roman"/>
                <w:b/>
                <w:sz w:val="20"/>
              </w:rPr>
              <w:t>Category</w:t>
            </w:r>
          </w:p>
        </w:tc>
        <w:tc>
          <w:tcPr>
            <w:tcW w:type="dxa" w:w="3024"/>
          </w:tcPr>
          <w:p>
            <w:pPr>
              <w:jc w:val="left"/>
            </w:pPr>
            <w:r/>
            <w:r>
              <w:rPr>
                <w:rFonts w:ascii="Times New Roman" w:hAnsi="Times New Roman"/>
                <w:b/>
                <w:sz w:val="20"/>
              </w:rPr>
              <w:t>Metric</w:t>
            </w:r>
          </w:p>
        </w:tc>
        <w:tc>
          <w:tcPr>
            <w:tcW w:type="dxa" w:w="3024"/>
          </w:tcPr>
          <w:p>
            <w:pPr>
              <w:jc w:val="left"/>
            </w:pPr>
            <w:r/>
            <w:r>
              <w:rPr>
                <w:rFonts w:ascii="Times New Roman" w:hAnsi="Times New Roman"/>
                <w:b/>
                <w:sz w:val="20"/>
              </w:rPr>
              <w:t>Value</w:t>
            </w:r>
          </w:p>
        </w:tc>
      </w:tr>
      <w:tr>
        <w:tc>
          <w:tcPr>
            <w:tcW w:type="dxa" w:w="3024"/>
          </w:tcPr>
          <w:p>
            <w:pPr>
              <w:jc w:val="left"/>
            </w:pPr>
            <w:r/>
            <w:r>
              <w:rPr>
                <w:rFonts w:ascii="Times New Roman" w:hAnsi="Times New Roman"/>
                <w:b w:val="0"/>
                <w:sz w:val="20"/>
              </w:rPr>
              <w:t>Experiment</w:t>
            </w:r>
          </w:p>
        </w:tc>
        <w:tc>
          <w:tcPr>
            <w:tcW w:type="dxa" w:w="3024"/>
          </w:tcPr>
          <w:p>
            <w:pPr>
              <w:jc w:val="left"/>
            </w:pPr>
            <w:r/>
            <w:r>
              <w:rPr>
                <w:rFonts w:ascii="Times New Roman" w:hAnsi="Times New Roman"/>
                <w:b w:val="0"/>
                <w:sz w:val="20"/>
              </w:rPr>
              <w:t>Agents</w:t>
            </w:r>
          </w:p>
        </w:tc>
        <w:tc>
          <w:tcPr>
            <w:tcW w:type="dxa" w:w="3024"/>
          </w:tcPr>
          <w:p>
            <w:pPr>
              <w:jc w:val="left"/>
            </w:pPr>
            <w:r/>
            <w:r>
              <w:rPr>
                <w:rFonts w:ascii="Times New Roman" w:hAnsi="Times New Roman"/>
                <w:b w:val="0"/>
                <w:sz w:val="20"/>
              </w:rPr>
              <w:t>78 (56 UB, 22 LB)</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Years</w:t>
            </w:r>
          </w:p>
        </w:tc>
        <w:tc>
          <w:tcPr>
            <w:tcW w:type="dxa" w:w="3024"/>
          </w:tcPr>
          <w:p>
            <w:pPr>
              <w:jc w:val="left"/>
            </w:pPr>
            <w:r/>
            <w:r>
              <w:rPr>
                <w:rFonts w:ascii="Times New Roman" w:hAnsi="Times New Roman"/>
                <w:b w:val="0"/>
                <w:sz w:val="20"/>
              </w:rPr>
              <w:t>42 (2019-2060)</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LLM</w:t>
            </w:r>
          </w:p>
        </w:tc>
        <w:tc>
          <w:tcPr>
            <w:tcW w:type="dxa" w:w="3024"/>
          </w:tcPr>
          <w:p>
            <w:pPr>
              <w:jc w:val="left"/>
            </w:pPr>
            <w:r/>
            <w:r>
              <w:rPr>
                <w:rFonts w:ascii="Times New Roman" w:hAnsi="Times New Roman"/>
                <w:b w:val="0"/>
                <w:sz w:val="20"/>
              </w:rPr>
              <w:t>gemma3:4b</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Total decisions</w:t>
            </w:r>
          </w:p>
        </w:tc>
        <w:tc>
          <w:tcPr>
            <w:tcW w:type="dxa" w:w="3024"/>
          </w:tcPr>
          <w:p>
            <w:pPr>
              <w:jc w:val="left"/>
            </w:pPr>
            <w:r/>
            <w:r>
              <w:rPr>
                <w:rFonts w:ascii="Times New Roman" w:hAnsi="Times New Roman"/>
                <w:b w:val="0"/>
                <w:sz w:val="20"/>
              </w:rPr>
              <w:t>3,276</w:t>
            </w:r>
          </w:p>
        </w:tc>
      </w:tr>
      <w:tr>
        <w:tc>
          <w:tcPr>
            <w:tcW w:type="dxa" w:w="3024"/>
          </w:tcPr>
          <w:p>
            <w:pPr>
              <w:jc w:val="left"/>
            </w:pPr>
            <w:r/>
            <w:r>
              <w:rPr>
                <w:rFonts w:ascii="Times New Roman" w:hAnsi="Times New Roman"/>
                <w:b w:val="0"/>
                <w:sz w:val="20"/>
              </w:rPr>
              <w:t>Governance Outcomes</w:t>
            </w:r>
          </w:p>
        </w:tc>
        <w:tc>
          <w:tcPr>
            <w:tcW w:type="dxa" w:w="3024"/>
          </w:tcPr>
          <w:p>
            <w:pPr>
              <w:jc w:val="left"/>
            </w:pPr>
            <w:r/>
            <w:r>
              <w:rPr>
                <w:rFonts w:ascii="Times New Roman" w:hAnsi="Times New Roman"/>
                <w:b w:val="0"/>
                <w:sz w:val="20"/>
              </w:rPr>
              <w:t>Approved (1st attempt)</w:t>
            </w:r>
          </w:p>
        </w:tc>
        <w:tc>
          <w:tcPr>
            <w:tcW w:type="dxa" w:w="3024"/>
          </w:tcPr>
          <w:p>
            <w:pPr>
              <w:jc w:val="left"/>
            </w:pPr>
            <w:r/>
            <w:r>
              <w:rPr>
                <w:rFonts w:ascii="Times New Roman" w:hAnsi="Times New Roman"/>
                <w:b w:val="0"/>
                <w:sz w:val="20"/>
              </w:rPr>
              <w:t>37.7%</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Retry success</w:t>
            </w:r>
          </w:p>
        </w:tc>
        <w:tc>
          <w:tcPr>
            <w:tcW w:type="dxa" w:w="3024"/>
          </w:tcPr>
          <w:p>
            <w:pPr>
              <w:jc w:val="left"/>
            </w:pPr>
            <w:r/>
            <w:r>
              <w:rPr>
                <w:rFonts w:ascii="Times New Roman" w:hAnsi="Times New Roman"/>
                <w:b w:val="0"/>
                <w:sz w:val="20"/>
              </w:rPr>
              <w:t>22.4%</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Rejected</w:t>
            </w:r>
          </w:p>
        </w:tc>
        <w:tc>
          <w:tcPr>
            <w:tcW w:type="dxa" w:w="3024"/>
          </w:tcPr>
          <w:p>
            <w:pPr>
              <w:jc w:val="left"/>
            </w:pPr>
            <w:r/>
            <w:r>
              <w:rPr>
                <w:rFonts w:ascii="Times New Roman" w:hAnsi="Times New Roman"/>
                <w:b w:val="0"/>
                <w:sz w:val="20"/>
              </w:rPr>
              <w:t>39.8%</w:t>
            </w:r>
          </w:p>
        </w:tc>
      </w:tr>
      <w:tr>
        <w:tc>
          <w:tcPr>
            <w:tcW w:type="dxa" w:w="3024"/>
          </w:tcPr>
          <w:p>
            <w:pPr>
              <w:jc w:val="left"/>
            </w:pPr>
            <w:r/>
            <w:r>
              <w:rPr>
                <w:rFonts w:ascii="Times New Roman" w:hAnsi="Times New Roman"/>
                <w:b w:val="0"/>
                <w:sz w:val="20"/>
              </w:rPr>
              <w:t>Rule Triggers (ERROR)</w:t>
            </w:r>
          </w:p>
        </w:tc>
        <w:tc>
          <w:tcPr>
            <w:tcW w:type="dxa" w:w="3024"/>
          </w:tcPr>
          <w:p>
            <w:pPr>
              <w:jc w:val="left"/>
            </w:pPr>
            <w:r/>
            <w:r>
              <w:rPr>
                <w:rFonts w:ascii="Times New Roman" w:hAnsi="Times New Roman"/>
                <w:b w:val="0"/>
                <w:sz w:val="20"/>
              </w:rPr>
              <w:t>demand_ceiling_stabilizer</w:t>
            </w:r>
          </w:p>
        </w:tc>
        <w:tc>
          <w:tcPr>
            <w:tcW w:type="dxa" w:w="3024"/>
          </w:tcPr>
          <w:p>
            <w:pPr>
              <w:jc w:val="left"/>
            </w:pPr>
            <w:r/>
            <w:r>
              <w:rPr>
                <w:rFonts w:ascii="Times New Roman" w:hAnsi="Times New Roman"/>
                <w:b w:val="0"/>
                <w:sz w:val="20"/>
              </w:rPr>
              <w:t>1,420</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high_threat_high_cope_no_increase</w:t>
            </w:r>
          </w:p>
        </w:tc>
        <w:tc>
          <w:tcPr>
            <w:tcW w:type="dxa" w:w="3024"/>
          </w:tcPr>
          <w:p>
            <w:pPr>
              <w:jc w:val="left"/>
            </w:pPr>
            <w:r/>
            <w:r>
              <w:rPr>
                <w:rFonts w:ascii="Times New Roman" w:hAnsi="Times New Roman"/>
                <w:b w:val="0"/>
                <w:sz w:val="20"/>
              </w:rPr>
              <w:t>1,180</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curtailment_awareness</w:t>
            </w:r>
          </w:p>
        </w:tc>
        <w:tc>
          <w:tcPr>
            <w:tcW w:type="dxa" w:w="3024"/>
          </w:tcPr>
          <w:p>
            <w:pPr>
              <w:jc w:val="left"/>
            </w:pPr>
            <w:r/>
            <w:r>
              <w:rPr>
                <w:rFonts w:ascii="Times New Roman" w:hAnsi="Times New Roman"/>
                <w:b w:val="0"/>
                <w:sz w:val="20"/>
              </w:rPr>
              <w:t>499</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supply_gap_block_increase</w:t>
            </w:r>
          </w:p>
        </w:tc>
        <w:tc>
          <w:tcPr>
            <w:tcW w:type="dxa" w:w="3024"/>
          </w:tcPr>
          <w:p>
            <w:pPr>
              <w:jc w:val="left"/>
            </w:pPr>
            <w:r/>
            <w:r>
              <w:rPr>
                <w:rFonts w:ascii="Times New Roman" w:hAnsi="Times New Roman"/>
                <w:b w:val="0"/>
                <w:sz w:val="20"/>
              </w:rPr>
              <w:t>237</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demand_floor_stabilizer</w:t>
            </w:r>
          </w:p>
        </w:tc>
        <w:tc>
          <w:tcPr>
            <w:tcW w:type="dxa" w:w="3024"/>
          </w:tcPr>
          <w:p>
            <w:pPr>
              <w:jc w:val="left"/>
            </w:pPr>
            <w:r/>
            <w:r>
              <w:rPr>
                <w:rFonts w:ascii="Times New Roman" w:hAnsi="Times New Roman"/>
                <w:b w:val="0"/>
                <w:sz w:val="20"/>
              </w:rPr>
              <w:t>216</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low_threat_no_increase</w:t>
            </w:r>
          </w:p>
        </w:tc>
        <w:tc>
          <w:tcPr>
            <w:tcW w:type="dxa" w:w="3024"/>
          </w:tcPr>
          <w:p>
            <w:pPr>
              <w:jc w:val="left"/>
            </w:pPr>
            <w:r/>
            <w:r>
              <w:rPr>
                <w:rFonts w:ascii="Times New Roman" w:hAnsi="Times New Roman"/>
                <w:b w:val="0"/>
                <w:sz w:val="20"/>
              </w:rPr>
              <w:t>70</w:t>
            </w:r>
          </w:p>
        </w:tc>
      </w:tr>
      <w:tr>
        <w:tc>
          <w:tcPr>
            <w:tcW w:type="dxa" w:w="3024"/>
          </w:tcPr>
          <w:p>
            <w:pPr>
              <w:jc w:val="left"/>
            </w:pPr>
            <w:r/>
            <w:r>
              <w:rPr>
                <w:rFonts w:ascii="Times New Roman" w:hAnsi="Times New Roman"/>
                <w:b w:val="0"/>
                <w:sz w:val="20"/>
              </w:rPr>
              <w:t>Behavioral Diversity</w:t>
            </w:r>
          </w:p>
        </w:tc>
        <w:tc>
          <w:tcPr>
            <w:tcW w:type="dxa" w:w="3024"/>
          </w:tcPr>
          <w:p>
            <w:pPr>
              <w:jc w:val="left"/>
            </w:pPr>
            <w:r/>
            <w:r>
              <w:rPr>
                <w:rFonts w:ascii="Times New Roman" w:hAnsi="Times New Roman"/>
                <w:b w:val="0"/>
                <w:sz w:val="20"/>
              </w:rPr>
              <w:t>H_norm (proposed)</w:t>
            </w:r>
          </w:p>
        </w:tc>
        <w:tc>
          <w:tcPr>
            <w:tcW w:type="dxa" w:w="3024"/>
          </w:tcPr>
          <w:p>
            <w:pPr>
              <w:jc w:val="left"/>
            </w:pPr>
            <w:r/>
            <w:r>
              <w:rPr>
                <w:rFonts w:ascii="Times New Roman" w:hAnsi="Times New Roman"/>
                <w:b w:val="0"/>
                <w:sz w:val="20"/>
              </w:rPr>
              <w:t>0.7401</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H_norm (approved)</w:t>
            </w:r>
          </w:p>
        </w:tc>
        <w:tc>
          <w:tcPr>
            <w:tcW w:type="dxa" w:w="3024"/>
          </w:tcPr>
          <w:p>
            <w:pPr>
              <w:jc w:val="left"/>
            </w:pPr>
            <w:r/>
            <w:r>
              <w:rPr>
                <w:rFonts w:ascii="Times New Roman" w:hAnsi="Times New Roman"/>
                <w:b w:val="0"/>
                <w:sz w:val="20"/>
              </w:rPr>
              <w:t>0.5464</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H_norm (executed)</w:t>
            </w:r>
          </w:p>
        </w:tc>
        <w:tc>
          <w:tcPr>
            <w:tcW w:type="dxa" w:w="3024"/>
          </w:tcPr>
          <w:p>
            <w:pPr>
              <w:jc w:val="left"/>
            </w:pPr>
            <w:r/>
            <w:r>
              <w:rPr>
                <w:rFonts w:ascii="Times New Roman" w:hAnsi="Times New Roman"/>
                <w:b w:val="0"/>
                <w:sz w:val="20"/>
              </w:rPr>
              <w:t>0.3884</w:t>
            </w:r>
          </w:p>
        </w:tc>
      </w:tr>
      <w:tr>
        <w:tc>
          <w:tcPr>
            <w:tcW w:type="dxa" w:w="3024"/>
          </w:tcPr>
          <w:p>
            <w:pPr>
              <w:jc w:val="left"/>
            </w:pPr>
            <w:r/>
            <w:r>
              <w:rPr>
                <w:rFonts w:ascii="Times New Roman" w:hAnsi="Times New Roman"/>
                <w:b w:val="0"/>
                <w:sz w:val="20"/>
              </w:rPr>
              <w:t>Demand Trajectory</w:t>
            </w:r>
          </w:p>
        </w:tc>
        <w:tc>
          <w:tcPr>
            <w:tcW w:type="dxa" w:w="3024"/>
          </w:tcPr>
          <w:p>
            <w:pPr>
              <w:jc w:val="left"/>
            </w:pPr>
            <w:r/>
            <w:r>
              <w:rPr>
                <w:rFonts w:ascii="Times New Roman" w:hAnsi="Times New Roman"/>
                <w:b w:val="0"/>
                <w:sz w:val="20"/>
              </w:rPr>
              <w:t>Mean demand</w:t>
            </w:r>
          </w:p>
        </w:tc>
        <w:tc>
          <w:tcPr>
            <w:tcW w:type="dxa" w:w="3024"/>
          </w:tcPr>
          <w:p>
            <w:pPr>
              <w:jc w:val="left"/>
            </w:pPr>
            <w:r/>
            <w:r>
              <w:rPr>
                <w:rFonts w:ascii="Times New Roman" w:hAnsi="Times New Roman"/>
                <w:b w:val="0"/>
                <w:sz w:val="20"/>
              </w:rPr>
              <w:t>5.873 MAF/yr</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CRSS ratio</w:t>
            </w:r>
          </w:p>
        </w:tc>
        <w:tc>
          <w:tcPr>
            <w:tcW w:type="dxa" w:w="3024"/>
          </w:tcPr>
          <w:p>
            <w:pPr>
              <w:jc w:val="left"/>
            </w:pPr>
            <w:r/>
            <w:r>
              <w:rPr>
                <w:rFonts w:ascii="Times New Roman" w:hAnsi="Times New Roman"/>
                <w:b w:val="0"/>
                <w:sz w:val="20"/>
              </w:rPr>
              <w:t>1.003x</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CoV (overall)</w:t>
            </w:r>
          </w:p>
        </w:tc>
        <w:tc>
          <w:tcPr>
            <w:tcW w:type="dxa" w:w="3024"/>
          </w:tcPr>
          <w:p>
            <w:pPr>
              <w:jc w:val="left"/>
            </w:pPr>
            <w:r/>
            <w:r>
              <w:rPr>
                <w:rFonts w:ascii="Times New Roman" w:hAnsi="Times New Roman"/>
                <w:b w:val="0"/>
                <w:sz w:val="20"/>
              </w:rPr>
              <w:t>9.2%</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CoV (Y6-42 steady-state)</w:t>
            </w:r>
          </w:p>
        </w:tc>
        <w:tc>
          <w:tcPr>
            <w:tcW w:type="dxa" w:w="3024"/>
          </w:tcPr>
          <w:p>
            <w:pPr>
              <w:jc w:val="left"/>
            </w:pPr>
            <w:r/>
            <w:r>
              <w:rPr>
                <w:rFonts w:ascii="Times New Roman" w:hAnsi="Times New Roman"/>
                <w:b w:val="0"/>
                <w:sz w:val="20"/>
              </w:rPr>
              <w:t>5.3%</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Within CRSS +/-10%</w:t>
            </w:r>
          </w:p>
        </w:tc>
        <w:tc>
          <w:tcPr>
            <w:tcW w:type="dxa" w:w="3024"/>
          </w:tcPr>
          <w:p>
            <w:pPr>
              <w:jc w:val="left"/>
            </w:pPr>
            <w:r/>
            <w:r>
              <w:rPr>
                <w:rFonts w:ascii="Times New Roman" w:hAnsi="Times New Roman"/>
                <w:b w:val="0"/>
                <w:sz w:val="20"/>
              </w:rPr>
              <w:t>88.1% (37/42 yr)</w:t>
            </w:r>
          </w:p>
        </w:tc>
      </w:tr>
      <w:tr>
        <w:tc>
          <w:tcPr>
            <w:tcW w:type="dxa" w:w="3024"/>
          </w:tcPr>
          <w:p>
            <w:pPr>
              <w:jc w:val="left"/>
            </w:pPr>
            <w:r/>
            <w:r>
              <w:rPr>
                <w:rFonts w:ascii="Times New Roman" w:hAnsi="Times New Roman"/>
                <w:b w:val="0"/>
                <w:sz w:val="20"/>
              </w:rPr>
              <w:t>Shortage Tiers</w:t>
            </w:r>
          </w:p>
        </w:tc>
        <w:tc>
          <w:tcPr>
            <w:tcW w:type="dxa" w:w="3024"/>
          </w:tcPr>
          <w:p>
            <w:pPr>
              <w:jc w:val="left"/>
            </w:pPr>
            <w:r/>
            <w:r>
              <w:rPr>
                <w:rFonts w:ascii="Times New Roman" w:hAnsi="Times New Roman"/>
                <w:b w:val="0"/>
                <w:sz w:val="20"/>
              </w:rPr>
              <w:t>Tier 0 (no shortage)</w:t>
            </w:r>
          </w:p>
        </w:tc>
        <w:tc>
          <w:tcPr>
            <w:tcW w:type="dxa" w:w="3024"/>
          </w:tcPr>
          <w:p>
            <w:pPr>
              <w:jc w:val="left"/>
            </w:pPr>
            <w:r/>
            <w:r>
              <w:rPr>
                <w:rFonts w:ascii="Times New Roman" w:hAnsi="Times New Roman"/>
                <w:b w:val="0"/>
                <w:sz w:val="20"/>
              </w:rPr>
              <w:t>30 years</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Tier 1 (5% cut)</w:t>
            </w:r>
          </w:p>
        </w:tc>
        <w:tc>
          <w:tcPr>
            <w:tcW w:type="dxa" w:w="3024"/>
          </w:tcPr>
          <w:p>
            <w:pPr>
              <w:jc w:val="left"/>
            </w:pPr>
            <w:r/>
            <w:r>
              <w:rPr>
                <w:rFonts w:ascii="Times New Roman" w:hAnsi="Times New Roman"/>
                <w:b w:val="0"/>
                <w:sz w:val="20"/>
              </w:rPr>
              <w:t>5 years</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Tier 2 (10% cut)</w:t>
            </w:r>
          </w:p>
        </w:tc>
        <w:tc>
          <w:tcPr>
            <w:tcW w:type="dxa" w:w="3024"/>
          </w:tcPr>
          <w:p>
            <w:pPr>
              <w:jc w:val="left"/>
            </w:pPr>
            <w:r/>
            <w:r>
              <w:rPr>
                <w:rFonts w:ascii="Times New Roman" w:hAnsi="Times New Roman"/>
                <w:b w:val="0"/>
                <w:sz w:val="20"/>
              </w:rPr>
              <w:t>2 years</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Tier 3 (20% cut)</w:t>
            </w:r>
          </w:p>
        </w:tc>
        <w:tc>
          <w:tcPr>
            <w:tcW w:type="dxa" w:w="3024"/>
          </w:tcPr>
          <w:p>
            <w:pPr>
              <w:jc w:val="left"/>
            </w:pPr>
            <w:r/>
            <w:r>
              <w:rPr>
                <w:rFonts w:ascii="Times New Roman" w:hAnsi="Times New Roman"/>
                <w:b w:val="0"/>
                <w:sz w:val="20"/>
              </w:rPr>
              <w:t>5 years</w:t>
            </w:r>
          </w:p>
        </w:tc>
      </w:tr>
      <w:tr>
        <w:tc>
          <w:tcPr>
            <w:tcW w:type="dxa" w:w="3024"/>
          </w:tcPr>
          <w:p>
            <w:pPr>
              <w:jc w:val="left"/>
            </w:pPr>
            <w:r/>
            <w:r>
              <w:rPr>
                <w:rFonts w:ascii="Times New Roman" w:hAnsi="Times New Roman"/>
                <w:b w:val="0"/>
                <w:sz w:val="20"/>
              </w:rPr>
              <w:t>Cluster Behavior</w:t>
            </w:r>
          </w:p>
        </w:tc>
        <w:tc>
          <w:tcPr>
            <w:tcW w:type="dxa" w:w="3024"/>
          </w:tcPr>
          <w:p>
            <w:pPr>
              <w:jc w:val="left"/>
            </w:pPr>
            <w:r/>
            <w:r>
              <w:rPr>
                <w:rFonts w:ascii="Times New Roman" w:hAnsi="Times New Roman"/>
                <w:b w:val="0"/>
                <w:sz w:val="20"/>
              </w:rPr>
              <w:t>Aggressive (67 agents)</w:t>
            </w:r>
          </w:p>
        </w:tc>
        <w:tc>
          <w:tcPr>
            <w:tcW w:type="dxa" w:w="3024"/>
          </w:tcPr>
          <w:p>
            <w:pPr>
              <w:jc w:val="left"/>
            </w:pPr>
            <w:r/>
            <w:r>
              <w:rPr>
                <w:rFonts w:ascii="Times New Roman" w:hAnsi="Times New Roman"/>
                <w:b w:val="0"/>
                <w:sz w:val="20"/>
              </w:rPr>
              <w:t>60% proposed increase -&gt; 17% executed</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Forward-looking (5 agents)</w:t>
            </w:r>
          </w:p>
        </w:tc>
        <w:tc>
          <w:tcPr>
            <w:tcW w:type="dxa" w:w="3024"/>
          </w:tcPr>
          <w:p>
            <w:pPr>
              <w:jc w:val="left"/>
            </w:pPr>
            <w:r/>
            <w:r>
              <w:rPr>
                <w:rFonts w:ascii="Times New Roman" w:hAnsi="Times New Roman"/>
                <w:b w:val="0"/>
                <w:sz w:val="20"/>
              </w:rPr>
              <w:t>10% proposed increase -&gt; 3% executed</w:t>
            </w:r>
          </w:p>
        </w:tc>
      </w:tr>
      <w:tr>
        <w:tc>
          <w:tcPr>
            <w:tcW w:type="dxa" w:w="3024"/>
          </w:tcPr>
          <w:p>
            <w:pPr>
              <w:jc w:val="left"/>
            </w:pPr>
            <w:r/>
            <w:r>
              <w:rPr>
                <w:rFonts w:ascii="Times New Roman" w:hAnsi="Times New Roman"/>
                <w:b w:val="0"/>
                <w:sz w:val="20"/>
              </w:rPr>
            </w:r>
          </w:p>
        </w:tc>
        <w:tc>
          <w:tcPr>
            <w:tcW w:type="dxa" w:w="3024"/>
          </w:tcPr>
          <w:p>
            <w:pPr>
              <w:jc w:val="left"/>
            </w:pPr>
            <w:r/>
            <w:r>
              <w:rPr>
                <w:rFonts w:ascii="Times New Roman" w:hAnsi="Times New Roman"/>
                <w:b w:val="0"/>
                <w:sz w:val="20"/>
              </w:rPr>
              <w:t>Myopic (6 agents)</w:t>
            </w:r>
          </w:p>
        </w:tc>
        <w:tc>
          <w:tcPr>
            <w:tcW w:type="dxa" w:w="3024"/>
          </w:tcPr>
          <w:p>
            <w:pPr>
              <w:jc w:val="left"/>
            </w:pPr>
            <w:r/>
            <w:r>
              <w:rPr>
                <w:rFonts w:ascii="Times New Roman" w:hAnsi="Times New Roman"/>
                <w:b w:val="0"/>
                <w:sz w:val="20"/>
              </w:rPr>
              <w:t>0% proposed increase -&gt; 0% executed</w:t>
            </w:r>
          </w:p>
        </w:tc>
      </w:tr>
    </w:tbl>
    <w:p/>
    <w:p>
      <w:pPr>
        <w:spacing w:after="120" w:line="480" w:lineRule="auto"/>
      </w:pPr>
      <w:r>
        <w:rPr>
          <w:rFonts w:ascii="Times New Roman" w:hAnsi="Times New Roman"/>
          <w:sz w:val="24"/>
        </w:rPr>
        <w:t>Caption: Summary statistics from the 42-year production run (seed 42, gemma3:4b). Governance outcomes, rule frequencies, and behavioral diversity metrics computed from irrigation_farmer_governance_audit.csv. Behavioral clusters follow Hung and Yang (2021, Table 2) k-means classification. CRSS nodes from USBR (2012). H_norm per Shannon (1948). Demand corridor as institutional allocation limits (Ostrom, 1990).</w:t>
      </w:r>
    </w:p>
    <w:p>
      <w:pPr>
        <w:pStyle w:val="Heading3"/>
      </w:pPr>
      <w:r>
        <w:rPr>
          <w:rFonts w:ascii="Times New Roman" w:hAnsi="Times New Roman"/>
          <w:color w:val="000000"/>
        </w:rPr>
        <w:t>Table S7: WAGF vs FQL Benchmark Comparison</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jc w:val="left"/>
            </w:pPr>
            <w:r/>
            <w:r>
              <w:rPr>
                <w:rFonts w:ascii="Times New Roman" w:hAnsi="Times New Roman"/>
                <w:b/>
                <w:sz w:val="20"/>
              </w:rPr>
              <w:t>Metric</w:t>
            </w:r>
          </w:p>
        </w:tc>
        <w:tc>
          <w:tcPr>
            <w:tcW w:type="dxa" w:w="2268"/>
          </w:tcPr>
          <w:p>
            <w:pPr>
              <w:jc w:val="left"/>
            </w:pPr>
            <w:r/>
            <w:r>
              <w:rPr>
                <w:rFonts w:ascii="Times New Roman" w:hAnsi="Times New Roman"/>
                <w:b/>
                <w:sz w:val="20"/>
              </w:rPr>
              <w:t>FQL (Hung &amp; Yang, 2021)</w:t>
            </w:r>
          </w:p>
        </w:tc>
        <w:tc>
          <w:tcPr>
            <w:tcW w:type="dxa" w:w="2268"/>
          </w:tcPr>
          <w:p>
            <w:pPr>
              <w:jc w:val="left"/>
            </w:pPr>
            <w:r/>
            <w:r>
              <w:rPr>
                <w:rFonts w:ascii="Times New Roman" w:hAnsi="Times New Roman"/>
                <w:b/>
                <w:sz w:val="20"/>
              </w:rPr>
              <w:t>WAGF v20</w:t>
            </w:r>
          </w:p>
        </w:tc>
        <w:tc>
          <w:tcPr>
            <w:tcW w:type="dxa" w:w="2268"/>
          </w:tcPr>
          <w:p>
            <w:pPr>
              <w:jc w:val="left"/>
            </w:pPr>
            <w:r/>
            <w:r>
              <w:rPr>
                <w:rFonts w:ascii="Times New Roman" w:hAnsi="Times New Roman"/>
                <w:b/>
                <w:sz w:val="20"/>
              </w:rPr>
              <w:t>Assessment</w:t>
            </w:r>
          </w:p>
        </w:tc>
      </w:tr>
      <w:tr>
        <w:tc>
          <w:tcPr>
            <w:tcW w:type="dxa" w:w="2268"/>
          </w:tcPr>
          <w:p>
            <w:pPr>
              <w:jc w:val="left"/>
            </w:pPr>
            <w:r/>
            <w:r>
              <w:rPr>
                <w:rFonts w:ascii="Times New Roman" w:hAnsi="Times New Roman"/>
                <w:b w:val="0"/>
                <w:sz w:val="20"/>
              </w:rPr>
              <w:t>Agents / Period</w:t>
            </w:r>
          </w:p>
        </w:tc>
        <w:tc>
          <w:tcPr>
            <w:tcW w:type="dxa" w:w="2268"/>
          </w:tcPr>
          <w:p>
            <w:pPr>
              <w:jc w:val="left"/>
            </w:pPr>
            <w:r/>
            <w:r>
              <w:rPr>
                <w:rFonts w:ascii="Times New Roman" w:hAnsi="Times New Roman"/>
                <w:b w:val="0"/>
                <w:sz w:val="20"/>
              </w:rPr>
              <w:t>78 / 42 yr (2019-2060)</w:t>
            </w:r>
          </w:p>
        </w:tc>
        <w:tc>
          <w:tcPr>
            <w:tcW w:type="dxa" w:w="2268"/>
          </w:tcPr>
          <w:p>
            <w:pPr>
              <w:jc w:val="left"/>
            </w:pPr>
            <w:r/>
            <w:r>
              <w:rPr>
                <w:rFonts w:ascii="Times New Roman" w:hAnsi="Times New Roman"/>
                <w:b w:val="0"/>
                <w:sz w:val="20"/>
              </w:rPr>
              <w:t>Same</w:t>
            </w:r>
          </w:p>
        </w:tc>
        <w:tc>
          <w:tcPr>
            <w:tcW w:type="dxa" w:w="2268"/>
          </w:tcPr>
          <w:p>
            <w:pPr>
              <w:jc w:val="left"/>
            </w:pPr>
            <w:r/>
            <w:r>
              <w:rPr>
                <w:rFonts w:ascii="Times New Roman" w:hAnsi="Times New Roman"/>
                <w:b w:val="0"/>
                <w:sz w:val="20"/>
              </w:rPr>
              <w:t>Matched</w:t>
            </w:r>
          </w:p>
        </w:tc>
      </w:tr>
      <w:tr>
        <w:tc>
          <w:tcPr>
            <w:tcW w:type="dxa" w:w="2268"/>
          </w:tcPr>
          <w:p>
            <w:pPr>
              <w:jc w:val="left"/>
            </w:pPr>
            <w:r/>
            <w:r>
              <w:rPr>
                <w:rFonts w:ascii="Times New Roman" w:hAnsi="Times New Roman"/>
                <w:b w:val="0"/>
                <w:sz w:val="20"/>
              </w:rPr>
              <w:t>Monte Carlo seeds</w:t>
            </w:r>
          </w:p>
        </w:tc>
        <w:tc>
          <w:tcPr>
            <w:tcW w:type="dxa" w:w="2268"/>
          </w:tcPr>
          <w:p>
            <w:pPr>
              <w:jc w:val="left"/>
            </w:pPr>
            <w:r/>
            <w:r>
              <w:rPr>
                <w:rFonts w:ascii="Times New Roman" w:hAnsi="Times New Roman"/>
                <w:b w:val="0"/>
                <w:sz w:val="20"/>
              </w:rPr>
              <w:t>100</w:t>
            </w:r>
          </w:p>
        </w:tc>
        <w:tc>
          <w:tcPr>
            <w:tcW w:type="dxa" w:w="2268"/>
          </w:tcPr>
          <w:p>
            <w:pPr>
              <w:jc w:val="left"/>
            </w:pPr>
            <w:r/>
            <w:r>
              <w:rPr>
                <w:rFonts w:ascii="Times New Roman" w:hAnsi="Times New Roman"/>
                <w:b w:val="0"/>
                <w:sz w:val="20"/>
              </w:rPr>
              <w:t>1 (seed 42)</w:t>
            </w:r>
          </w:p>
        </w:tc>
        <w:tc>
          <w:tcPr>
            <w:tcW w:type="dxa" w:w="2268"/>
          </w:tcPr>
          <w:p>
            <w:pPr>
              <w:jc w:val="left"/>
            </w:pPr>
            <w:r/>
            <w:r>
              <w:rPr>
                <w:rFonts w:ascii="Times New Roman" w:hAnsi="Times New Roman"/>
                <w:b w:val="0"/>
                <w:sz w:val="20"/>
              </w:rPr>
              <w:t>WAGF limited</w:t>
            </w:r>
          </w:p>
        </w:tc>
      </w:tr>
      <w:tr>
        <w:tc>
          <w:tcPr>
            <w:tcW w:type="dxa" w:w="2268"/>
          </w:tcPr>
          <w:p>
            <w:pPr>
              <w:jc w:val="left"/>
            </w:pPr>
            <w:r/>
            <w:r>
              <w:rPr>
                <w:rFonts w:ascii="Times New Roman" w:hAnsi="Times New Roman"/>
                <w:b w:val="0"/>
                <w:sz w:val="20"/>
              </w:rPr>
              <w:t>Mean demand</w:t>
            </w:r>
          </w:p>
        </w:tc>
        <w:tc>
          <w:tcPr>
            <w:tcW w:type="dxa" w:w="2268"/>
          </w:tcPr>
          <w:p>
            <w:pPr>
              <w:jc w:val="left"/>
            </w:pPr>
            <w:r/>
            <w:r>
              <w:rPr>
                <w:rFonts w:ascii="Times New Roman" w:hAnsi="Times New Roman"/>
                <w:b w:val="0"/>
                <w:sz w:val="20"/>
              </w:rPr>
              <w:t>Ensemble distribution around CRSS</w:t>
            </w:r>
          </w:p>
        </w:tc>
        <w:tc>
          <w:tcPr>
            <w:tcW w:type="dxa" w:w="2268"/>
          </w:tcPr>
          <w:p>
            <w:pPr>
              <w:jc w:val="left"/>
            </w:pPr>
            <w:r/>
            <w:r>
              <w:rPr>
                <w:rFonts w:ascii="Times New Roman" w:hAnsi="Times New Roman"/>
                <w:b w:val="0"/>
                <w:sz w:val="20"/>
              </w:rPr>
              <w:t>5.87 MAF (1.003x CRSS)</w:t>
            </w:r>
          </w:p>
        </w:tc>
        <w:tc>
          <w:tcPr>
            <w:tcW w:type="dxa" w:w="2268"/>
          </w:tcPr>
          <w:p>
            <w:pPr>
              <w:jc w:val="left"/>
            </w:pPr>
            <w:r/>
            <w:r>
              <w:rPr>
                <w:rFonts w:ascii="Times New Roman" w:hAnsi="Times New Roman"/>
                <w:b w:val="0"/>
                <w:sz w:val="20"/>
              </w:rPr>
              <w:t>Within FQL range</w:t>
            </w:r>
          </w:p>
        </w:tc>
      </w:tr>
      <w:tr>
        <w:tc>
          <w:tcPr>
            <w:tcW w:type="dxa" w:w="2268"/>
          </w:tcPr>
          <w:p>
            <w:pPr>
              <w:jc w:val="left"/>
            </w:pPr>
            <w:r/>
            <w:r>
              <w:rPr>
                <w:rFonts w:ascii="Times New Roman" w:hAnsi="Times New Roman"/>
                <w:b w:val="0"/>
                <w:sz w:val="20"/>
              </w:rPr>
              <w:t>Demand variability</w:t>
            </w:r>
          </w:p>
        </w:tc>
        <w:tc>
          <w:tcPr>
            <w:tcW w:type="dxa" w:w="2268"/>
          </w:tcPr>
          <w:p>
            <w:pPr>
              <w:jc w:val="left"/>
            </w:pPr>
            <w:r/>
            <w:r>
              <w:rPr>
                <w:rFonts w:ascii="Times New Roman" w:hAnsi="Times New Roman"/>
                <w:b w:val="0"/>
                <w:sz w:val="20"/>
              </w:rPr>
              <w:t>Ensemble spread narrows after drought</w:t>
            </w:r>
          </w:p>
        </w:tc>
        <w:tc>
          <w:tcPr>
            <w:tcW w:type="dxa" w:w="2268"/>
          </w:tcPr>
          <w:p>
            <w:pPr>
              <w:jc w:val="left"/>
            </w:pPr>
            <w:r/>
            <w:r>
              <w:rPr>
                <w:rFonts w:ascii="Times New Roman" w:hAnsi="Times New Roman"/>
                <w:b w:val="0"/>
                <w:sz w:val="20"/>
              </w:rPr>
              <w:t>CoV 5.3% (Y6-42)</w:t>
            </w:r>
          </w:p>
        </w:tc>
        <w:tc>
          <w:tcPr>
            <w:tcW w:type="dxa" w:w="2268"/>
          </w:tcPr>
          <w:p>
            <w:pPr>
              <w:jc w:val="left"/>
            </w:pPr>
            <w:r/>
            <w:r>
              <w:rPr>
                <w:rFonts w:ascii="Times New Roman" w:hAnsi="Times New Roman"/>
                <w:b w:val="0"/>
                <w:sz w:val="20"/>
              </w:rPr>
              <w:t>Comparable stability</w:t>
            </w:r>
          </w:p>
        </w:tc>
      </w:tr>
      <w:tr>
        <w:tc>
          <w:tcPr>
            <w:tcW w:type="dxa" w:w="2268"/>
          </w:tcPr>
          <w:p>
            <w:pPr>
              <w:jc w:val="left"/>
            </w:pPr>
            <w:r/>
            <w:r>
              <w:rPr>
                <w:rFonts w:ascii="Times New Roman" w:hAnsi="Times New Roman"/>
                <w:b w:val="0"/>
                <w:sz w:val="20"/>
              </w:rPr>
              <w:t>Shortage years</w:t>
            </w:r>
          </w:p>
        </w:tc>
        <w:tc>
          <w:tcPr>
            <w:tcW w:type="dxa" w:w="2268"/>
          </w:tcPr>
          <w:p>
            <w:pPr>
              <w:jc w:val="left"/>
            </w:pPr>
            <w:r/>
            <w:r>
              <w:rPr>
                <w:rFonts w:ascii="Times New Roman" w:hAnsi="Times New Roman"/>
                <w:b w:val="0"/>
                <w:sz w:val="20"/>
              </w:rPr>
              <w:t>13-30 yr (path-dependent)</w:t>
            </w:r>
          </w:p>
        </w:tc>
        <w:tc>
          <w:tcPr>
            <w:tcW w:type="dxa" w:w="2268"/>
          </w:tcPr>
          <w:p>
            <w:pPr>
              <w:jc w:val="left"/>
            </w:pPr>
            <w:r/>
            <w:r>
              <w:rPr>
                <w:rFonts w:ascii="Times New Roman" w:hAnsi="Times New Roman"/>
                <w:b w:val="0"/>
                <w:sz w:val="20"/>
              </w:rPr>
              <w:t>12 yr</w:t>
            </w:r>
          </w:p>
        </w:tc>
        <w:tc>
          <w:tcPr>
            <w:tcW w:type="dxa" w:w="2268"/>
          </w:tcPr>
          <w:p>
            <w:pPr>
              <w:jc w:val="left"/>
            </w:pPr>
            <w:r/>
            <w:r>
              <w:rPr>
                <w:rFonts w:ascii="Times New Roman" w:hAnsi="Times New Roman"/>
                <w:b w:val="0"/>
                <w:sz w:val="20"/>
              </w:rPr>
              <w:t>Within FQL range</w:t>
            </w:r>
          </w:p>
        </w:tc>
      </w:tr>
      <w:tr>
        <w:tc>
          <w:tcPr>
            <w:tcW w:type="dxa" w:w="2268"/>
          </w:tcPr>
          <w:p>
            <w:pPr>
              <w:jc w:val="left"/>
            </w:pPr>
            <w:r/>
            <w:r>
              <w:rPr>
                <w:rFonts w:ascii="Times New Roman" w:hAnsi="Times New Roman"/>
                <w:b w:val="0"/>
                <w:sz w:val="20"/>
              </w:rPr>
              <w:t>Cluster ordering</w:t>
            </w:r>
          </w:p>
        </w:tc>
        <w:tc>
          <w:tcPr>
            <w:tcW w:type="dxa" w:w="2268"/>
          </w:tcPr>
          <w:p>
            <w:pPr>
              <w:jc w:val="left"/>
            </w:pPr>
            <w:r/>
            <w:r>
              <w:rPr>
                <w:rFonts w:ascii="Times New Roman" w:hAnsi="Times New Roman"/>
                <w:b w:val="0"/>
                <w:sz w:val="20"/>
              </w:rPr>
              <w:t>Aggressive &gt; FL &gt; Myopic (Q-value)</w:t>
            </w:r>
          </w:p>
        </w:tc>
        <w:tc>
          <w:tcPr>
            <w:tcW w:type="dxa" w:w="2268"/>
          </w:tcPr>
          <w:p>
            <w:pPr>
              <w:jc w:val="left"/>
            </w:pPr>
            <w:r/>
            <w:r>
              <w:rPr>
                <w:rFonts w:ascii="Times New Roman" w:hAnsi="Times New Roman"/>
                <w:b w:val="0"/>
                <w:sz w:val="20"/>
              </w:rPr>
              <w:t>Same ordering (governance compression)</w:t>
            </w:r>
          </w:p>
        </w:tc>
        <w:tc>
          <w:tcPr>
            <w:tcW w:type="dxa" w:w="2268"/>
          </w:tcPr>
          <w:p>
            <w:pPr>
              <w:jc w:val="left"/>
            </w:pPr>
            <w:r/>
            <w:r>
              <w:rPr>
                <w:rFonts w:ascii="Times New Roman" w:hAnsi="Times New Roman"/>
                <w:b w:val="0"/>
                <w:sz w:val="20"/>
              </w:rPr>
              <w:t>Preserved</w:t>
            </w:r>
          </w:p>
        </w:tc>
      </w:tr>
      <w:tr>
        <w:tc>
          <w:tcPr>
            <w:tcW w:type="dxa" w:w="2268"/>
          </w:tcPr>
          <w:p>
            <w:pPr>
              <w:jc w:val="left"/>
            </w:pPr>
            <w:r/>
            <w:r>
              <w:rPr>
                <w:rFonts w:ascii="Times New Roman" w:hAnsi="Times New Roman"/>
                <w:b w:val="0"/>
                <w:sz w:val="20"/>
              </w:rPr>
              <w:t>Stabilization mechanism</w:t>
            </w:r>
          </w:p>
        </w:tc>
        <w:tc>
          <w:tcPr>
            <w:tcW w:type="dxa" w:w="2268"/>
          </w:tcPr>
          <w:p>
            <w:pPr>
              <w:jc w:val="left"/>
            </w:pPr>
            <w:r/>
            <w:r>
              <w:rPr>
                <w:rFonts w:ascii="Times New Roman" w:hAnsi="Times New Roman"/>
                <w:b w:val="0"/>
                <w:sz w:val="20"/>
              </w:rPr>
              <w:t>Endogenous (reward-based Q-convergence)</w:t>
            </w:r>
          </w:p>
        </w:tc>
        <w:tc>
          <w:tcPr>
            <w:tcW w:type="dxa" w:w="2268"/>
          </w:tcPr>
          <w:p>
            <w:pPr>
              <w:jc w:val="left"/>
            </w:pPr>
            <w:r/>
            <w:r>
              <w:rPr>
                <w:rFonts w:ascii="Times New Roman" w:hAnsi="Times New Roman"/>
                <w:b w:val="0"/>
                <w:sz w:val="20"/>
              </w:rPr>
              <w:t>Exogenous (governance corridor)</w:t>
            </w:r>
          </w:p>
        </w:tc>
        <w:tc>
          <w:tcPr>
            <w:tcW w:type="dxa" w:w="2268"/>
          </w:tcPr>
          <w:p>
            <w:pPr>
              <w:jc w:val="left"/>
            </w:pPr>
            <w:r/>
            <w:r>
              <w:rPr>
                <w:rFonts w:ascii="Times New Roman" w:hAnsi="Times New Roman"/>
                <w:b w:val="0"/>
                <w:sz w:val="20"/>
              </w:rPr>
              <w:t>Structurally different</w:t>
            </w:r>
          </w:p>
        </w:tc>
      </w:tr>
      <w:tr>
        <w:tc>
          <w:tcPr>
            <w:tcW w:type="dxa" w:w="2268"/>
          </w:tcPr>
          <w:p>
            <w:pPr>
              <w:jc w:val="left"/>
            </w:pPr>
            <w:r/>
            <w:r>
              <w:rPr>
                <w:rFonts w:ascii="Times New Roman" w:hAnsi="Times New Roman"/>
                <w:b w:val="0"/>
                <w:sz w:val="20"/>
              </w:rPr>
              <w:t>Cold-start transient</w:t>
            </w:r>
          </w:p>
        </w:tc>
        <w:tc>
          <w:tcPr>
            <w:tcW w:type="dxa" w:w="2268"/>
          </w:tcPr>
          <w:p>
            <w:pPr>
              <w:jc w:val="left"/>
            </w:pPr>
            <w:r/>
            <w:r>
              <w:rPr>
                <w:rFonts w:ascii="Times New Roman" w:hAnsi="Times New Roman"/>
                <w:b w:val="0"/>
                <w:sz w:val="20"/>
              </w:rPr>
              <w:t>Q-value exploration noise</w:t>
            </w:r>
          </w:p>
        </w:tc>
        <w:tc>
          <w:tcPr>
            <w:tcW w:type="dxa" w:w="2268"/>
          </w:tcPr>
          <w:p>
            <w:pPr>
              <w:jc w:val="left"/>
            </w:pPr>
            <w:r/>
            <w:r>
              <w:rPr>
                <w:rFonts w:ascii="Times New Roman" w:hAnsi="Times New Roman"/>
                <w:b w:val="0"/>
                <w:sz w:val="20"/>
              </w:rPr>
              <w:t>Memory initialization (Y1-5)</w:t>
            </w:r>
          </w:p>
        </w:tc>
        <w:tc>
          <w:tcPr>
            <w:tcW w:type="dxa" w:w="2268"/>
          </w:tcPr>
          <w:p>
            <w:pPr>
              <w:jc w:val="left"/>
            </w:pPr>
            <w:r/>
            <w:r>
              <w:rPr>
                <w:rFonts w:ascii="Times New Roman" w:hAnsi="Times New Roman"/>
                <w:b w:val="0"/>
                <w:sz w:val="20"/>
              </w:rPr>
              <w:t>Analogous</w:t>
            </w:r>
          </w:p>
        </w:tc>
      </w:tr>
      <w:tr>
        <w:tc>
          <w:tcPr>
            <w:tcW w:type="dxa" w:w="2268"/>
          </w:tcPr>
          <w:p>
            <w:pPr>
              <w:jc w:val="left"/>
            </w:pPr>
            <w:r/>
            <w:r>
              <w:rPr>
                <w:rFonts w:ascii="Times New Roman" w:hAnsi="Times New Roman"/>
                <w:b w:val="0"/>
                <w:sz w:val="20"/>
              </w:rPr>
              <w:t>Convergence guarantee</w:t>
            </w:r>
          </w:p>
        </w:tc>
        <w:tc>
          <w:tcPr>
            <w:tcW w:type="dxa" w:w="2268"/>
          </w:tcPr>
          <w:p>
            <w:pPr>
              <w:jc w:val="left"/>
            </w:pPr>
            <w:r/>
            <w:r>
              <w:rPr>
                <w:rFonts w:ascii="Times New Roman" w:hAnsi="Times New Roman"/>
                <w:b w:val="0"/>
                <w:sz w:val="20"/>
              </w:rPr>
              <w:t>Yes (Q-learning theorem)</w:t>
            </w:r>
          </w:p>
        </w:tc>
        <w:tc>
          <w:tcPr>
            <w:tcW w:type="dxa" w:w="2268"/>
          </w:tcPr>
          <w:p>
            <w:pPr>
              <w:jc w:val="left"/>
            </w:pPr>
            <w:r/>
            <w:r>
              <w:rPr>
                <w:rFonts w:ascii="Times New Roman" w:hAnsi="Times New Roman"/>
                <w:b w:val="0"/>
                <w:sz w:val="20"/>
              </w:rPr>
              <w:t>No (depends on rule design)</w:t>
            </w:r>
          </w:p>
        </w:tc>
        <w:tc>
          <w:tcPr>
            <w:tcW w:type="dxa" w:w="2268"/>
          </w:tcPr>
          <w:p>
            <w:pPr>
              <w:jc w:val="left"/>
            </w:pPr>
            <w:r/>
            <w:r>
              <w:rPr>
                <w:rFonts w:ascii="Times New Roman" w:hAnsi="Times New Roman"/>
                <w:b w:val="0"/>
                <w:sz w:val="20"/>
              </w:rPr>
              <w:t>WAGF weaker</w:t>
            </w:r>
          </w:p>
        </w:tc>
      </w:tr>
      <w:tr>
        <w:tc>
          <w:tcPr>
            <w:tcW w:type="dxa" w:w="2268"/>
          </w:tcPr>
          <w:p>
            <w:pPr>
              <w:jc w:val="left"/>
            </w:pPr>
            <w:r/>
            <w:r>
              <w:rPr>
                <w:rFonts w:ascii="Times New Roman" w:hAnsi="Times New Roman"/>
                <w:b w:val="0"/>
                <w:sz w:val="20"/>
              </w:rPr>
              <w:t>Explainability</w:t>
            </w:r>
          </w:p>
        </w:tc>
        <w:tc>
          <w:tcPr>
            <w:tcW w:type="dxa" w:w="2268"/>
          </w:tcPr>
          <w:p>
            <w:pPr>
              <w:jc w:val="left"/>
            </w:pPr>
            <w:r/>
            <w:r>
              <w:rPr>
                <w:rFonts w:ascii="Times New Roman" w:hAnsi="Times New Roman"/>
                <w:b w:val="0"/>
                <w:sz w:val="20"/>
              </w:rPr>
              <w:t>Q-table values (opaque)</w:t>
            </w:r>
          </w:p>
        </w:tc>
        <w:tc>
          <w:tcPr>
            <w:tcW w:type="dxa" w:w="2268"/>
          </w:tcPr>
          <w:p>
            <w:pPr>
              <w:jc w:val="left"/>
            </w:pPr>
            <w:r/>
            <w:r>
              <w:rPr>
                <w:rFonts w:ascii="Times New Roman" w:hAnsi="Times New Roman"/>
                <w:b w:val="0"/>
                <w:sz w:val="20"/>
              </w:rPr>
              <w:t>NL reasoning + InterventionReport</w:t>
            </w:r>
          </w:p>
        </w:tc>
        <w:tc>
          <w:tcPr>
            <w:tcW w:type="dxa" w:w="2268"/>
          </w:tcPr>
          <w:p>
            <w:pPr>
              <w:jc w:val="left"/>
            </w:pPr>
            <w:r/>
            <w:r>
              <w:rPr>
                <w:rFonts w:ascii="Times New Roman" w:hAnsi="Times New Roman"/>
                <w:b w:val="0"/>
                <w:sz w:val="20"/>
              </w:rPr>
              <w:t>WAGF stronger</w:t>
            </w:r>
          </w:p>
        </w:tc>
      </w:tr>
    </w:tbl>
    <w:p/>
    <w:p>
      <w:pPr>
        <w:spacing w:after="120" w:line="480" w:lineRule="auto"/>
      </w:pPr>
      <w:r>
        <w:rPr>
          <w:rFonts w:ascii="Times New Roman" w:hAnsi="Times New Roman"/>
          <w:sz w:val="24"/>
        </w:rPr>
        <w:t>Caption: Comparison of WAGF irrigation results against the FQL benchmark from Hung and Yang (2021). Both models use the same reduced-form CRSS mass balance, 78 real CRSS agents, and 42-year horizon (2019-2060). WAGF replaces FQL's reward-based self-regulation with explicit governance rules (12 validators + demand corridor). The comparison targets scientific plausibility (mean demand within CRSS ±10%, cluster ordering preserved), not statistical equivalence. FQL ensemble statistics are approximate ranges from Hung and Yang (2021, Figures 4-6).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