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over 3,000 governed decisions validated against empirical behavioural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skills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S2–S4 present full reasoning traces and a taxonomy of 10 distinct cognitive frames).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This pre-curtailment acceleration has empirical precedent in prior-appropriation systems where users historically increase diversions in anticipation of curtailment. Our governance architecture suppresses these proposals; future designs could distinguish between physically impossible actions and institutionally unsanctioned-but-observed strategies, preserving them as diagnostic windows into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is not analysed in this paper;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0.05,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