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ns4="http://schemas.openxmlformats.org/officeDocument/2006/relationships" xmlns:w="http://schemas.openxmlformats.org/wordprocessingml/2006/main" xmlns:w14="http://schemas.microsoft.com/office/word/2010/wordml" xmlns:w16du="http://schemas.microsoft.com/office/word/2023/wordml/word16du" mc:Ignorable="w14 w15 w16se w16cid w16 w16cex w16sdtdh w16sdtfl w16du wp14">
  <w:body>
    <w:p w14:paraId="6B4013CC" w14:textId="77777777" w:rsidR="00F803C3" w:rsidRDefault="00000000">
      <w:pPr>
        <w:spacing w:after="120" w:line="480" w:lineRule="auto"/>
        <w:jc w:val="center"/>
      </w:pPr>
      <w:r>
        <w:rPr>
          <w:rFonts w:eastAsia="Times New Roman"/>
          <w:b/>
          <w:bCs/>
          <w:sz w:val="32"/>
          <w:szCs w:val="32"/>
        </w:rPr>
        <w:t>WAGF: A Governance Framework for LLM-Driven Agent-Based Models of Human?ater Systems</w:t>
      </w:r>
    </w:p>
    <w:p w14:paraId="14446E00" w14:textId="6A401164" w:rsidR="00F803C3" w:rsidRDefault="00000000">
      <w:pPr>
        <w:spacing w:after="60" w:line="480" w:lineRule="auto"/>
        <w:jc w:val="center"/>
      </w:pPr>
      <w:r>
        <w:rPr>
          <w:rFonts w:eastAsia="Times New Roman"/>
        </w:rPr>
        <w:t>Wen</w:t>
      </w:r>
      <w:ins w:id="0" w:author="Wenyu Chiou" w:date="2026-02-06T12:13:00Z" w16du:dateUtc="2026-02-06T17:13:00Z">
        <w:r w:rsidR="00D7280E">
          <w:rPr>
            <w:rFonts w:hint="eastAsia"/>
          </w:rPr>
          <w:t>y</w:t>
        </w:r>
      </w:ins>
      <w:del w:id="1" w:author="Wenyu Chiou" w:date="2026-02-06T12:13:00Z" w16du:dateUtc="2026-02-06T17:13:00Z">
        <w:r w:rsidDel="00D7280E">
          <w:rPr>
            <w:rFonts w:eastAsia="Times New Roman"/>
          </w:rPr>
          <w:delText>-Y</w:delText>
        </w:r>
      </w:del>
      <w:r>
        <w:rPr>
          <w:rFonts w:eastAsia="Times New Roman"/>
        </w:rPr>
        <w:t>u Chen</w:t>
      </w:r>
      <w:r>
        <w:rPr>
          <w:rFonts w:eastAsia="Times New Roman"/>
          <w:vertAlign w:val="superscript"/>
        </w:rPr>
        <w:t>1</w:t>
      </w:r>
      <w:r>
        <w:rPr>
          <w:rFonts w:eastAsia="Times New Roman"/>
        </w:rPr>
        <w:t>, Second Author</w:t>
      </w:r>
      <w:r>
        <w:rPr>
          <w:rFonts w:eastAsia="Times New Roman"/>
          <w:vertAlign w:val="superscript"/>
        </w:rPr>
        <w:t>1</w:t>
      </w:r>
    </w:p>
    <w:p w14:paraId="203CB744" w14:textId="77777777" w:rsidR="00F803C3" w:rsidRDefault="00000000">
      <w:pPr>
        <w:spacing w:after="240" w:line="480" w:lineRule="auto"/>
        <w:jc w:val="center"/>
      </w:pPr>
      <w:r>
        <w:rPr>
          <w:rFonts w:eastAsia="Times New Roman"/>
          <w:vertAlign w:val="superscript"/>
        </w:rPr>
        <w:t>1</w:t>
      </w:r>
      <w:r>
        <w:rPr>
          <w:rFonts w:eastAsia="Times New Roman"/>
          <w:i/>
          <w:iCs/>
          <w:sz w:val="22"/>
          <w:szCs w:val="22"/>
        </w:rPr>
        <w:t>Department of Civil and Environmental Engineering, Lehigh University, Bethlehem, PA, USA</w:t>
      </w:r>
    </w:p>
    <w:p w14:paraId="544F6732" w14:textId="3689DC4B" w:rsidR="00F803C3" w:rsidRDefault="00000000">
      <w:pPr>
        <w:spacing w:after="360" w:line="480" w:lineRule="auto"/>
        <w:jc w:val="center"/>
      </w:pPr>
      <w:r>
        <w:rPr>
          <w:rFonts w:eastAsia="Times New Roman"/>
          <w:sz w:val="22"/>
          <w:szCs w:val="22"/>
        </w:rPr>
        <w:t>Corresponding author: Wen-Yu Chen (wec</w:t>
      </w:r>
      <w:ins w:id="2" w:author="Wenyu Chiou" w:date="2026-02-06T12:13:00Z" w16du:dateUtc="2026-02-06T17:13:00Z">
        <w:r w:rsidR="00D7280E">
          <w:rPr>
            <w:rFonts w:hint="eastAsia"/>
            <w:sz w:val="22"/>
            <w:szCs w:val="22"/>
          </w:rPr>
          <w:t>324</w:t>
        </w:r>
      </w:ins>
      <w:del w:id="3" w:author="Wenyu Chiou" w:date="2026-02-06T12:13:00Z" w16du:dateUtc="2026-02-06T17:13:00Z">
        <w:r w:rsidDel="00D7280E">
          <w:rPr>
            <w:rFonts w:eastAsia="Times New Roman"/>
            <w:sz w:val="22"/>
            <w:szCs w:val="22"/>
          </w:rPr>
          <w:delText>225</w:delText>
        </w:r>
      </w:del>
      <w:r>
        <w:rPr>
          <w:rFonts w:eastAsia="Times New Roman"/>
          <w:sz w:val="22"/>
          <w:szCs w:val="22"/>
        </w:rPr>
        <w:t>@lehigh.edu)</w:t>
      </w:r>
    </w:p>
    <w:p w14:paraId="0536CB8C" w14:textId="77777777" w:rsidR="00F803C3" w:rsidRDefault="00000000">
      <w:pPr>
        <w:pStyle w:val="1"/>
        <w:spacing w:line="480" w:lineRule="auto"/>
      </w:pPr>
      <w:r>
        <w:t>Key Points</w:t>
      </w:r>
    </w:p>
    <w:p w14:paraId="222B804B" w14:textId="77777777" w:rsidR="00F803C3" w:rsidRDefault="1937EF80">
      <w:pPr>
        <w:pStyle w:val="a4"/>
        <w:numPr>
          <w:ilvl w:val="0"/>
          <w:numId w:val="2"/>
        </w:numPr>
        <w:spacing w:line="480" w:lineRule="auto"/>
      </w:pPr>
      <w:r>
        <w:rPr>
          <w:rFonts w:eastAsia="Times New Roman"/>
        </w:rPr>
        <w:t>WAGF reduces hallucination rate from 20.84% to 0.58??.80% in ungoverned LLM agents while preserving genuine behavioral diversity</w:t>
      </w:r>
      <w:del w:id="4" w:author="Claude" w:date="2026-02-01T14:58:00Z" w16du:dateUtc="2026-02-01T14:58:02Z">
        <w:r w:rsidR="00000000" w:rsidDel="1937EF80">
          <w:rPr>
            <w:rFonts w:eastAsia="Times New Roman"/>
          </w:rPr>
          <w:delText>8.3%</w:delText>
        </w:r>
      </w:del>
      <w:ins w:id="5" w:author="Claude" w:date="2026-02-01T14:58:00Z" w16du:dateUtc="2026-02-01T14:58:02Z">
        <w:del w:id="6" w:author="Claude" w:date="2026-02-05T00:00:00Z">
          <w:r>
            <w:rPr>
              <w:rFonts w:eastAsia="Times New Roman"/>
            </w:rPr>
            <w:delText>28.1%</w:delText>
          </w:r>
        </w:del>
      </w:ins>
      <w:ins w:id="7" w:author="Claude" w:date="2026-02-05T00:00:00Z">
        <w:r w:rsidR="00000000">
          <w:t>28.1%</w:t>
        </w:r>
      </w:ins>
      <w:r>
        <w:rPr>
          <w:rFonts w:eastAsia="Times New Roman"/>
        </w:rPr>
      </w:r>
      <w:del w:id="8" w:author="Claude" w:date="2026-02-01T14:58:00Z" w16du:dateUtc="2026-02-01T14:58:02Z">
        <w:r w:rsidR="00000000" w:rsidDel="1937EF80">
          <w:rPr>
            <w:rFonts w:eastAsia="Times New Roman"/>
          </w:rPr>
          <w:delText>1.7%</w:delText>
        </w:r>
      </w:del>
      <w:ins w:id="9" w:author="Claude" w:date="2026-02-01T14:58:00Z" w16du:dateUtc="2026-02-01T14:58:02Z">
        <w:del w:id="10" w:author="Claude" w:date="2026-02-05T00:00:00Z">
          <w:r>
            <w:rPr>
              <w:rFonts w:eastAsia="Times New Roman"/>
            </w:rPr>
            <w:delText>1.0%</w:delText>
          </w:r>
        </w:del>
      </w:ins>
      <w:ins w:id="11" w:author="Claude" w:date="2026-02-05T00:00:00Z">
        <w:r w:rsidR="00000000">
          <w:t>1.0%</w:t>
        </w:r>
      </w:ins>
      <w:r>
        <w:rPr>
          <w:rFonts w:eastAsia="Times New Roman"/>
        </w:rPr>
      </w:r>
    </w:p>
    <w:p w14:paraId="79E58D31" w14:textId="77777777" w:rsidR="00F803C3" w:rsidRDefault="00000000">
      <w:pPr>
        <w:pStyle w:val="a4"/>
        <w:numPr>
          <w:ilvl w:val="0"/>
          <w:numId w:val="2"/>
        </w:numPr>
        <w:spacing w:line="480" w:lineRule="auto"/>
      </w:pPr>
      <w:r>
        <w:rPr>
          <w:rFonts w:eastAsia="Times New Roman"/>
        </w:rPr>
        <w:t>Effective Behavioral Entropy (EBE) metric separates true decision diversity from hallucination-inflated entropy</w:t>
      </w:r>
    </w:p>
    <w:p w14:paraId="766689BB" w14:textId="77777777" w:rsidR="00F803C3" w:rsidRDefault="00000000">
      <w:pPr>
        <w:pStyle w:val="a4"/>
        <w:numPr>
          <w:ilvl w:val="0"/>
          <w:numId w:val="2"/>
        </w:numPr>
        <w:spacing w:after="240" w:line="480" w:lineRule="auto"/>
      </w:pPr>
      <w:r>
        <w:rPr>
          <w:rFonts w:eastAsia="Times New Roman"/>
        </w:rPr>
        <w:t>Governance middleware transfers across domains: flood adaptation (100 agents, 10 yr) and irrigation (78 agents, 42 yr)</w:t>
      </w:r>
    </w:p>
    <w:p w14:paraId="56BED1BB" w14:textId="77777777" w:rsidR="00F803C3" w:rsidRDefault="00000000">
      <w:pPr>
        <w:pStyle w:val="1"/>
        <w:spacing w:line="480" w:lineRule="auto"/>
      </w:pPr>
      <w:r>
        <w:t>Abstract</w:t>
      </w:r>
    </w:p>
    <w:p w14:paraId="7180C414" w14:textId="77777777" w:rsidR="00F803C3" w:rsidRDefault="1937EF80">
      <w:pPr>
        <w:spacing w:after="120" w:line="480" w:lineRule="auto"/>
        <w:jc w:val="both"/>
      </w:pPr>
      <w:r>
        <w:t>Large language models (LLMs) offer a promising path toward cognitively realistic agent-based models (ABMs) for water resources planning, but unconstrained LLM agents produce physically impossible decisions? phenomenon we term behavioral hallucination. We present WAGF (Water Agent Governance Framework), an open-source middleware that enforces domain-specific physical and institutional constraints on LLM-driven agents while preserving emergent behavioral diversity. WAGF implements three governance components: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??RH), which disentangles genuine decision diversity from hallucination-inflated entropy. In a flood adaptation case study (100 agents, 10 years, three Gemma 3 model sizes), ungoverned agents exhibit a 20.84% hallucination rate; WAGF-governed agents reduce this to 0.58??.80% while maintaining higher effective diversity (EBE = 0.78??.79). We demonstrate domain transferability through a Colorado River irrigation case study (78 districts, 42 years). The framework, metrics, and experiment code are available at [GitHub URL].</w:t>
      </w:r>
    </w:p>
    <w:p w14:paraId="73EF289A" w14:textId="77777777" w:rsidR="00F803C3" w:rsidRDefault="00000000">
      <w:pPr>
        <w:pStyle w:val="1"/>
        <w:spacing w:line="480" w:lineRule="auto"/>
      </w:pPr>
      <w:r>
        <w:t>Plain Language Summary</w:t>
      </w:r>
    </w:p>
    <w:p w14:paraId="38F5872B" w14:textId="77777777" w:rsidR="00F803C3" w:rsidRDefault="00000000">
      <w:pPr>
        <w:spacing w:after="120" w:line="480" w:lineRule="auto"/>
        <w:jc w:val="both"/>
      </w:pPr>
      <w:r>
        <w:rPr>
          <w:rFonts w:eastAsia="Times New Roman"/>
        </w:rPr>
        <w:t>Artificial intelligence language models can power virtual agents that make human-like decisions in water management simulations. However, without oversight, these agents make impossible choices?ike buying flood insurance they already own or elevating a home that is already raised. We developed WAGF, a software layer that checks each agent?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w:t>
      </w:r>
    </w:p>
    <w:p w14:paraId="3E4F53C3" w14:textId="77777777" w:rsidR="00F803C3" w:rsidRDefault="00000000">
      <w:r>
        <w:br w:type="page"/>
      </w:r>
    </w:p>
    <w:p w14:paraId="044D4333" w14:textId="77777777" w:rsidR="00F803C3" w:rsidRDefault="00000000">
      <w:pPr>
        <w:pStyle w:val="1"/>
        <w:spacing w:line="480" w:lineRule="auto"/>
      </w:pPr>
      <w:r>
        <w:lastRenderedPageBreak/>
        <w:t>1. Introduction</w:t>
      </w:r>
    </w:p>
    <w:p w14:paraId="2317A976" w14:textId="77777777" w:rsidR="00F803C3" w:rsidRDefault="00000000">
      <w:pPr>
        <w:spacing w:after="120" w:line="480" w:lineRule="auto"/>
        <w:ind w:firstLine="360"/>
        <w:jc w:val="both"/>
      </w:pPr>
      <w:r>
        <w: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w:t>
      </w:r>
    </w:p>
    <w:p w14:paraId="5DCCD49B" w14:textId="77777777" w:rsidR="00F803C3" w:rsidRDefault="00000000">
      <w:pPr>
        <w:spacing w:after="120" w:line="480" w:lineRule="auto"/>
        <w:ind w:firstLine="360"/>
        <w:jc w:val="both"/>
      </w:pPr>
      <w:r>
        <w: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w:t>
      </w:r>
    </w:p>
    <w:p w14:paraId="160515C1" w14:textId="77777777" w:rsidR="00F803C3" w:rsidRDefault="00000000">
      <w:pPr>
        <w:spacing w:after="120" w:line="480" w:lineRule="auto"/>
        <w:ind w:firstLine="360"/>
        <w:jc w:val="both"/>
      </w:pPr>
      <w:r>
        <w: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w:t>
      </w:r>
    </w:p>
    <w:p w14:paraId="5C203F9D" w14:textId="77777777" w:rsidR="00F803C3" w:rsidRDefault="00000000">
      <w:pPr>
        <w:pStyle w:val="1"/>
        <w:spacing w:line="480" w:lineRule="auto"/>
      </w:pPr>
      <w:r>
        <w:t>2. WAGF Architecture</w:t>
      </w:r>
    </w:p>
    <w:p w14:paraId="5C355435" w14:textId="77777777" w:rsidR="00F803C3" w:rsidRDefault="00000000">
      <w:pPr>
        <w:pStyle w:val="2"/>
        <w:spacing w:line="480" w:lineRule="auto"/>
      </w:pPr>
      <w:r>
        <w:t>2.1 System Boundary and Broker Pipeline</w:t>
      </w:r>
    </w:p>
    <w:p w14:paraId="04EC5DDC" w14:textId="77777777" w:rsidR="00F803C3" w:rsidRDefault="00000000">
      <w:pPr>
        <w:spacing w:after="120" w:line="480" w:lineRule="auto"/>
        <w:ind w:firstLine="360"/>
        <w:jc w:val="both"/>
      </w:pPr>
      <w:r>
        <w:t>WAGF is a governance middleware between LLM reasoning and simulation state transition. The LLM layer proposes candidate actions, WAGF checks those proposals against explicit behavioral and feasibility constraints, and the execution layer applies only approved actions to the environment (Figure 1). WAGF does not generate domain decisions on behalf of agents and does not mutate environment state directly.</w:t>
      </w:r>
    </w:p>
    <w:p w14:paraId="7AD963E9" w14:textId="77777777" w:rsidR="00F803C3" w:rsidRDefault="00000000">
      <w:pPr>
        <w:spacing w:after="120" w:line="480" w:lineRule="auto"/>
        <w:ind w:firstLine="360"/>
        <w:jc w:val="both"/>
      </w:pPr>
      <w:r>
        <w: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w:t>
      </w:r>
    </w:p>
    <w:p w14:paraId="00DADB2F" w14:textId="77777777" w:rsidR="00F803C3" w:rsidRDefault="00000000">
      <w:pPr>
        <w:spacing w:after="120" w:line="480" w:lineRule="auto"/>
        <w:ind w:firstLine="360"/>
        <w:jc w:val="both"/>
      </w:pPr>
      <w:r>
        <w: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w:t>
      </w:r>
    </w:p>
    <w:p w14:paraId="67173F29" w14:textId="77777777" w:rsidR="00F803C3" w:rsidRDefault="00000000">
      <w:pPr>
        <w:spacing w:after="120" w:line="480" w:lineRule="auto"/>
        <w:ind w:firstLine="360"/>
        <w:jc w:val="both"/>
      </w:pPr>
      <w:r>
        <w:t>This sequence translates LLM proposals into executable actions under explicit constraints and full traceability.</w:t>
      </w:r>
    </w:p>
    <w:p w14:paraId="01DF04BB" w14:textId="77777777" w:rsidR="00F803C3" w:rsidRDefault="00000000">
      <w:pPr>
        <w:pStyle w:val="2"/>
        <w:spacing w:line="480" w:lineRule="auto"/>
      </w:pPr>
      <w:r>
        <w:t>2.2 Cross-Cutting Governance Components</w:t>
      </w:r>
    </w:p>
    <w:p w14:paraId="63C52A09" w14:textId="77777777" w:rsidR="00F803C3" w:rsidRDefault="00000000">
      <w:pPr>
        <w:spacing w:after="120" w:line="480" w:lineRule="auto"/>
        <w:ind w:firstLine="360"/>
        <w:jc w:val="both"/>
      </w:pPr>
      <w:r>
        <w: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w:t>
      </w:r>
    </w:p>
    <w:p w14:paraId="1DEA8CA4" w14:textId="77777777" w:rsidR="00F803C3" w:rsidRDefault="00000000">
      <w:pPr>
        <w:pStyle w:val="2"/>
        <w:spacing w:line="480" w:lineRule="auto"/>
      </w:pPr>
      <w:r>
        <w:t>2.3 Domain Instantiation</w:t>
      </w:r>
    </w:p>
    <w:p w14:paraId="4A22333D" w14:textId="77777777" w:rsidR="00F803C3" w:rsidRDefault="00000000">
      <w:pPr>
        <w:spacing w:after="120" w:line="480" w:lineRule="auto"/>
        <w:ind w:firstLine="360"/>
        <w:jc w:val="both"/>
      </w:pPr>
      <w:r>
        <w: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w:t>
      </w:r>
    </w:p>
    <w:p w14:paraId="1D1485D3" w14:textId="77777777" w:rsidR="00F803C3" w:rsidRDefault="00000000">
      <w:pPr>
        <w:spacing w:before="240" w:after="60" w:line="480" w:lineRule="auto"/>
        <w:jc w:val="center"/>
      </w:pPr>
      <w:r>
        <w:rPr>
          <w:rFonts w:eastAsia="Times New Roman"/>
          <w:b/>
          <w:bCs/>
        </w:rPr>
        <w: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w:t>
      </w:r>
      <w:r>
        <w:rPr>
          <w:rFonts w:eastAsia="Times New Roman"/>
        </w:rPr>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6"/>
        <w:gridCol w:w="1725"/>
        <w:gridCol w:w="1724"/>
        <w:gridCol w:w="1928"/>
        <w:gridCol w:w="1903"/>
      </w:tblGrid>
      <w:tr w:rsidR="00F803C3" w14:paraId="11C846F3" w14:textId="77777777">
        <w:tblPrEx>
          <w:tblCellMar>
            <w:top w:w="0" w:type="dxa"/>
            <w:bottom w:w="0" w:type="dxa"/>
          </w:tblCellMar>
        </w:tblPrEx>
        <w:trPr>
          <w:tblHeader/>
        </w:trPr>
        <w:tc>
          <w:tcPr>
            <w:tcW w:w="1800" w:type="dxa"/>
            <w:shd w:val="clear" w:color="auto" w:fill="D9E2F3"/>
            <w:vAlign w:val="center"/>
          </w:tcPr>
          <w:p w14:paraId="375EC140" w14:textId="77777777" w:rsidR="00F803C3" w:rsidRDefault="00000000">
            <w:pPr>
              <w:jc w:val="center"/>
            </w:pPr>
            <w:r>
              <w:rPr>
                <w:b/>
                <w:sz w:val="18"/>
              </w:rPr>
              <w:t>Model</w:t>
            </w:r>
          </w:p>
        </w:tc>
        <w:tc>
          <w:tcPr>
            <w:tcW w:w="1800" w:type="dxa"/>
            <w:shd w:val="clear" w:color="auto" w:fill="D9E2F3"/>
            <w:vAlign w:val="center"/>
          </w:tcPr>
          <w:p w14:paraId="492886AC" w14:textId="77777777" w:rsidR="00F803C3" w:rsidRDefault="00000000">
            <w:pPr>
              <w:jc w:val="center"/>
            </w:pPr>
            <w:r>
              <w:rPr>
                <w:b/>
                <w:sz w:val="18"/>
              </w:rPr>
              <w:t>Ungov. R</w:t>
            </w:r>
            <w:r>
              <w:rPr>
                <w:b/>
                <w:sz w:val="18"/>
                <w:vertAlign w:val="subscript"/>
              </w:rPr>
              <w:t>H</w:t>
            </w:r>
            <w:r>
              <w:rPr>
                <w:b/>
                <w:sz w:val="18"/>
              </w:rPr>
              <w:t>(%)</w:t>
            </w:r>
          </w:p>
        </w:tc>
        <w:tc>
          <w:tcPr>
            <w:tcW w:w="1800" w:type="dxa"/>
            <w:shd w:val="clear" w:color="auto" w:fill="D9E2F3"/>
            <w:vAlign w:val="center"/>
          </w:tcPr>
          <w:p w14:paraId="32C346D5" w14:textId="77777777" w:rsidR="00F803C3" w:rsidRDefault="00000000">
            <w:pPr>
              <w:jc w:val="center"/>
            </w:pPr>
            <w:r>
              <w:rPr>
                <w:b/>
                <w:sz w:val="18"/>
              </w:rPr>
              <w:t>WAGF R</w:t>
            </w:r>
            <w:r>
              <w:rPr>
                <w:b/>
                <w:sz w:val="18"/>
                <w:vertAlign w:val="subscript"/>
              </w:rPr>
              <w:t>H</w:t>
            </w:r>
            <w:r>
              <w:rPr>
                <w:b/>
                <w:sz w:val="18"/>
              </w:rPr>
              <w:t>(%)</w:t>
            </w:r>
          </w:p>
        </w:tc>
        <w:tc>
          <w:tcPr>
            <w:tcW w:w="2000" w:type="dxa"/>
            <w:shd w:val="clear" w:color="auto" w:fill="D9E2F3"/>
            <w:vAlign w:val="center"/>
          </w:tcPr>
          <w:p w14:paraId="088124C3" w14:textId="77777777" w:rsidR="00F803C3" w:rsidRDefault="00000000">
            <w:pPr>
              <w:jc w:val="center"/>
            </w:pPr>
            <w:r>
              <w:rPr>
                <w:b/>
                <w:sz w:val="18"/>
              </w:rPr>
              <w:t>Reduction (%)</w:t>
            </w:r>
          </w:p>
        </w:tc>
        <w:tc>
          <w:tcPr>
            <w:tcW w:w="2000" w:type="dxa"/>
            <w:shd w:val="clear" w:color="auto" w:fill="D9E2F3"/>
            <w:vAlign w:val="center"/>
          </w:tcPr>
          <w:p w14:paraId="5D6BF5F9" w14:textId="77777777" w:rsidR="00F803C3" w:rsidRDefault="00000000">
            <w:pPr>
              <w:jc w:val="center"/>
            </w:pPr>
            <w:r>
              <w:rPr>
                <w:b/>
                <w:sz w:val="18"/>
              </w:rPr>
              <w:t>EBE Gain (%)</w:t>
            </w:r>
          </w:p>
        </w:tc>
      </w:tr>
      <w:tr w:rsidR="00F803C3" w14:paraId="02F1FBBE" w14:textId="77777777">
        <w:tblPrEx>
          <w:tblCellMar>
            <w:top w:w="0" w:type="dxa"/>
            <w:bottom w:w="0" w:type="dxa"/>
          </w:tblCellMar>
        </w:tblPrEx>
        <w:tc>
          <w:tcPr>
            <w:tcW w:w="1800" w:type="dxa"/>
            <w:vAlign w:val="center"/>
          </w:tcPr>
          <w:p>
            <w:r>
              <w:t>Gemma3-4B</w:t>
            </w:r>
          </w:p>
        </w:tc>
        <w:tc>
          <w:tcPr>
            <w:tcW w:w="1800" w:type="dxa"/>
            <w:vAlign w:val="center"/>
          </w:tcPr>
          <w:p>
            <w:r>
              <w:t>20.84</w:t>
            </w:r>
          </w:p>
        </w:tc>
        <w:tc>
          <w:tcPr>
            <w:tcW w:w="1800" w:type="dxa"/>
            <w:vAlign w:val="center"/>
          </w:tcPr>
          <w:p>
            <w:r>
              <w:t>2.80</w:t>
            </w:r>
          </w:p>
        </w:tc>
        <w:tc>
          <w:tcPr>
            <w:tcW w:w="2000" w:type="dxa"/>
            <w:vAlign w:val="center"/>
          </w:tcPr>
          <w:p>
            <w:r>
              <w:t>86.6</w:t>
            </w:r>
          </w:p>
        </w:tc>
        <w:tc>
          <w:tcPr>
            <w:tcW w:w="2000" w:type="dxa"/>
            <w:vAlign w:val="center"/>
          </w:tcPr>
          <w:p>
            <w:r>
              <w:t>48.7</w:t>
            </w:r>
          </w:p>
        </w:tc>
      </w:tr>
      <w:tr w:rsidR="00F803C3" w14:paraId="1554B932" w14:textId="77777777">
        <w:tblPrEx>
          <w:tblCellMar>
            <w:top w:w="0" w:type="dxa"/>
            <w:bottom w:w="0" w:type="dxa"/>
          </w:tblCellMar>
        </w:tblPrEx>
        <w:tc>
          <w:tcPr>
            <w:tcW w:w="1800" w:type="dxa"/>
            <w:vAlign w:val="center"/>
          </w:tcPr>
          <w:p>
            <w:r>
              <w:t>Gemma3-12B</w:t>
            </w:r>
          </w:p>
        </w:tc>
        <w:tc>
          <w:tcPr>
            <w:tcW w:w="1800" w:type="dxa"/>
            <w:vAlign w:val="center"/>
          </w:tcPr>
          <w:p>
            <w:r>
              <w:t>9.71</w:t>
            </w:r>
          </w:p>
        </w:tc>
        <w:tc>
          <w:tcPr>
            <w:tcW w:w="1800" w:type="dxa"/>
            <w:vAlign w:val="center"/>
          </w:tcPr>
          <w:p>
            <w:r>
              <w:t>0.00</w:t>
            </w:r>
          </w:p>
        </w:tc>
        <w:tc>
          <w:tcPr>
            <w:tcW w:w="2000" w:type="dxa"/>
            <w:vAlign w:val="center"/>
          </w:tcPr>
          <w:p>
            <w:r>
              <w:t>100.0</w:t>
            </w:r>
          </w:p>
        </w:tc>
        <w:tc>
          <w:tcPr>
            <w:tcW w:w="2000" w:type="dxa"/>
            <w:vAlign w:val="center"/>
          </w:tcPr>
          <w:p>
            <w:r>
              <w:t>11.1</w:t>
            </w:r>
          </w:p>
        </w:tc>
      </w:tr>
      <w:tr w:rsidR="00F803C3" w14:paraId="48F9B9DC" w14:textId="77777777">
        <w:tblPrEx>
          <w:tblCellMar>
            <w:top w:w="0" w:type="dxa"/>
            <w:bottom w:w="0" w:type="dxa"/>
          </w:tblCellMar>
        </w:tblPrEx>
        <w:tc>
          <w:tcPr>
            <w:tcW w:w="1800" w:type="dxa"/>
            <w:vAlign w:val="center"/>
          </w:tcPr>
          <w:p>
            <w:r>
              <w:t>Gemma3-27B</w:t>
            </w:r>
          </w:p>
        </w:tc>
        <w:tc>
          <w:tcPr>
            <w:tcW w:w="1800" w:type="dxa"/>
            <w:vAlign w:val="center"/>
          </w:tcPr>
          <w:p>
            <w:r>
              <w:t>8.70</w:t>
            </w:r>
          </w:p>
        </w:tc>
        <w:tc>
          <w:tcPr>
            <w:tcW w:w="1800" w:type="dxa"/>
            <w:vAlign w:val="center"/>
          </w:tcPr>
          <w:p>
            <w:r>
              <w:t>0.00</w:t>
            </w:r>
          </w:p>
        </w:tc>
        <w:tc>
          <w:tcPr>
            <w:tcW w:w="2000" w:type="dxa"/>
            <w:vAlign w:val="center"/>
          </w:tcPr>
          <w:p>
            <w:r>
              <w:t>100.0</w:t>
            </w:r>
          </w:p>
        </w:tc>
        <w:tc>
          <w:tcPr>
            <w:tcW w:w="2000" w:type="dxa"/>
            <w:vAlign w:val="center"/>
          </w:tcPr>
          <w:p>
            <w:r>
              <w:t>7.9</w:t>
            </w:r>
          </w:p>
        </w:tc>
      </w:tr>
      <w:tr w:rsidR="00F803C3" w14:paraId="0D988567" w14:textId="77777777">
        <w:tblPrEx>
          <w:tblCellMar>
            <w:top w:w="0" w:type="dxa"/>
            <w:bottom w:w="0" w:type="dxa"/>
          </w:tblCellMar>
        </w:tblPrEx>
        <w:tc>
          <w:tcPr>
            <w:tcW w:w="1800" w:type="dxa"/>
            <w:vAlign w:val="center"/>
          </w:tcPr>
          <w:p>
            <w:r>
              <w:t>Ministral-3B</w:t>
            </w:r>
          </w:p>
        </w:tc>
        <w:tc>
          <w:tcPr>
            <w:tcW w:w="1800" w:type="dxa"/>
            <w:vAlign w:val="center"/>
          </w:tcPr>
          <w:p>
            <w:r>
              <w:t>13.82</w:t>
            </w:r>
          </w:p>
        </w:tc>
        <w:tc>
          <w:tcPr>
            <w:tcW w:w="1800" w:type="dxa"/>
            <w:vAlign w:val="center"/>
          </w:tcPr>
          <w:p>
            <w:r>
              <w:t>0.13</w:t>
            </w:r>
          </w:p>
        </w:tc>
        <w:tc>
          <w:tcPr>
            <w:tcW w:w="2000" w:type="dxa"/>
            <w:vAlign w:val="center"/>
          </w:tcPr>
          <w:p>
            <w:r>
              <w:t>99.1</w:t>
            </w:r>
          </w:p>
        </w:tc>
        <w:tc>
          <w:tcPr>
            <w:tcW w:w="2000" w:type="dxa"/>
            <w:vAlign w:val="center"/>
          </w:tcPr>
          <w:p>
            <w:r>
              <w:t>70.4</w:t>
            </w:r>
          </w:p>
        </w:tc>
      </w:tr>
      <w:tr w:rsidR="00F803C3" w14:paraId="7C70A349" w14:textId="77777777">
        <w:tblPrEx>
          <w:tblCellMar>
            <w:top w:w="0" w:type="dxa"/>
            <w:bottom w:w="0" w:type="dxa"/>
          </w:tblCellMar>
        </w:tblPrEx>
        <w:tc>
          <w:tcPr>
            <w:tcW w:w="1800" w:type="dxa"/>
            <w:vAlign w:val="center"/>
          </w:tcPr>
          <w:p>
            <w:r>
              <w:t>Ministral-8B</w:t>
            </w:r>
          </w:p>
        </w:tc>
        <w:tc>
          <w:tcPr>
            <w:tcW w:w="1800" w:type="dxa"/>
            <w:vAlign w:val="center"/>
          </w:tcPr>
          <w:p>
            <w:r>
              <w:t>11.99</w:t>
            </w:r>
          </w:p>
        </w:tc>
        <w:tc>
          <w:tcPr>
            <w:tcW w:w="1800" w:type="dxa"/>
            <w:vAlign w:val="center"/>
          </w:tcPr>
          <w:p>
            <w:r>
              <w:t>0.00</w:t>
            </w:r>
          </w:p>
        </w:tc>
        <w:tc>
          <w:tcPr>
            <w:tcW w:w="2000" w:type="dxa"/>
            <w:vAlign w:val="center"/>
          </w:tcPr>
          <w:p>
            <w:r>
              <w:t>100.0</w:t>
            </w:r>
          </w:p>
        </w:tc>
        <w:tc>
          <w:tcPr>
            <w:tcW w:w="2000" w:type="dxa"/>
            <w:vAlign w:val="center"/>
          </w:tcPr>
          <w:p>
            <w:r>
              <w:t>-5.0</w:t>
            </w:r>
          </w:p>
        </w:tc>
      </w:tr>
      <w:tr w:rsidR="00F803C3" w14:paraId="41E3F0E3" w14:textId="77777777">
        <w:tblPrEx>
          <w:tblCellMar>
            <w:top w:w="0" w:type="dxa"/>
            <w:bottom w:w="0" w:type="dxa"/>
          </w:tblCellMar>
        </w:tblPrEx>
        <w:tc>
          <w:tcPr>
            <w:tcW w:w="1800" w:type="dxa"/>
            <w:vAlign w:val="center"/>
          </w:tcPr>
          <w:p>
            <w:r>
              <w:t>Ministral-14B</w:t>
            </w:r>
          </w:p>
        </w:tc>
        <w:tc>
          <w:tcPr>
            <w:tcW w:w="1800" w:type="dxa"/>
            <w:vAlign w:val="center"/>
          </w:tcPr>
          <w:p>
            <w:r>
              <w:t>11.61</w:t>
            </w:r>
          </w:p>
        </w:tc>
        <w:tc>
          <w:tcPr>
            <w:tcW w:w="1800" w:type="dxa"/>
            <w:vAlign w:val="center"/>
          </w:tcPr>
          <w:p>
            <w:r>
              <w:t>0.00</w:t>
            </w:r>
          </w:p>
        </w:tc>
        <w:tc>
          <w:tcPr>
            <w:tcW w:w="2000" w:type="dxa"/>
            <w:vAlign w:val="center"/>
          </w:tcPr>
          <w:p>
            <w:r>
              <w:t>100.0</w:t>
            </w:r>
          </w:p>
        </w:tc>
        <w:tc>
          <w:tcPr>
            <w:tcW w:w="2000" w:type="dxa"/>
            <w:vAlign w:val="center"/>
          </w:tcPr>
          <w:p>
            <w:r>
              <w:t>67.8</w:t>
            </w:r>
          </w:p>
        </w:tc>
      </w:tr>
    </w:tbl>
    <w:p w14:paraId="609D0C5B" w14:textId="77777777" w:rsidR="00F803C3" w:rsidRDefault="00F803C3">
      <w:pPr>
        <w:spacing w:after="240"/>
      </w:pPr>
    </w:p>
    <w:p w14:paraId="03EFDB60" w14:textId="77777777" w:rsidR="00F803C3" w:rsidRDefault="00000000">
      <w:pPr>
        <w:pStyle w:val="1"/>
        <w:spacing w:line="480" w:lineRule="auto"/>
      </w:pPr>
      <w:r>
        <w:t>3. Metrics</w:t>
      </w:r>
    </w:p>
    <w:p w14:paraId="23BF9CF6" w14:textId="77777777" w:rsidR="00F803C3" w:rsidRDefault="00000000">
      <w:pPr>
        <w:spacing w:after="120" w:line="480" w:lineRule="auto"/>
        <w:jc w:val="both"/>
      </w:pPr>
      <w:r>
        <w:t>We distinguish two validation failure types. Feasibility hallucination occurs when a proposed skill a_t violates identity constraints under agent state s_(t-1) and active institutional conditions. Let A_id(s_(t-1)) denote the feasible skill set under identity checks; a proposal is a feasibility hallucination when a_t not in A_id(s_(t-1)). Thinking-rule violations are treated separately as rationality deviations (coherence failures) rather than hallucinations.</w:t>
      </w:r>
    </w:p>
    <w:p w14:paraId="08F54DDB" w14:textId="77777777" w:rsidR="259F63AB" w:rsidRDefault="259F63AB" w:rsidP="259F63AB">
      <w:pPr>
        <w:spacing w:after="120" w:line="480" w:lineRule="auto"/>
        <w:ind w:firstLine="360"/>
        <w:jc w:val="both"/>
        <w:rPr>
          <w:ins w:id="20" w:author="Claude" w:date="2026-02-01T04:26:00Z" w16du:dateUtc="2026-02-01T04:26:18Z"/>
        </w:rPr>
      </w:pPr>
      <w:r>
        <w:t>This separation avoids conflating physically or institutionally infeasible behavior with boundedly rational but feasible behavior.</w:t>
      </w:r>
    </w:p>
    <w:p w14:paraId="45B87EC9" w14:textId="77777777" w:rsidR="00F803C3" w:rsidRDefault="00000000">
      <w:pPr>
        <w:spacing w:before="120" w:after="120" w:line="480" w:lineRule="auto"/>
        <w:jc w:val="center"/>
      </w:pPr>
      <w:r>
        <w:t>R_H = n_id / n_total          (1)</w:t>
      </w:r>
    </w:p>
    <w:p w14:paraId="51E4AFA6" w14:textId="77777777" w:rsidR="00F803C3" w:rsidRDefault="00000000">
      <w:pPr>
        <w:spacing w:after="120" w:line="480" w:lineRule="auto"/>
        <w:jc w:val="both"/>
      </w:pPr>
      <w:r>
        <w:t>R_R = n_think / n_total          (2)</w:t>
      </w:r>
    </w:p>
    <w:p w14:paraId="4D3349D9" w14:textId="77777777" w:rsidR="00F803C3" w:rsidRDefault="00000000">
      <w:pPr>
        <w:spacing w:before="120" w:after="120" w:line="480" w:lineRule="auto"/>
        <w:jc w:val="center"/>
      </w:pPr>
      <w:r>
        <w:t>R_H is the feasibility hallucination rate (identity-rule ERROR rejections), while R_R is the rationality-deviation rate (thinking-rule ERROR rejections). We define Effective Behavioral Entropy (EBE) as diversity adjusted by feasibility hallucination burden only: EBE = H_norm * (1 - R_H), with H_norm = H / log2(k) and H = -sum_i p_i log2(p_i)          (3)</w:t>
      </w:r>
    </w:p>
    <w:p w14:paraId="43A4DBCE" w14:textId="77777777" w:rsidR="00F803C3" w:rsidRDefault="00000000">
      <w:pPr>
        <w:spacing w:after="120" w:line="480" w:lineRule="auto"/>
        <w:jc w:val="both"/>
      </w:pPr>
      <w:r>
        <w:t>Here k is the number of available skills and p_i is the observed frequency of skill i. For corrected entropy reporting, hallucinated proposals are remapped to the domain fallback skill (DoNothing in flood, maintain_demand in irrigation). We report R_H, R_R, raw entropy, corrected entropy, and EBE jointly for transparent comparison (Jost, 2006; Ji et al., 2023).</w:t>
      </w:r>
    </w:p>
    <w:p w14:paraId="26913CBD" w14:textId="77777777" w:rsidR="00F803C3" w:rsidRDefault="00000000">
      <w:r>
        <w:br w:type="page"/>
      </w:r>
    </w:p>
    <w:p w14:paraId="2CD3DC67" w14:textId="77777777" w:rsidR="00F803C3" w:rsidRDefault="00000000">
      <w:pPr>
        <w:pStyle w:val="1"/>
        <w:spacing w:line="480" w:lineRule="auto"/>
      </w:pPr>
      <w:r>
        <w:lastRenderedPageBreak/>
        <w:t>4. Case Study 1: Flood Adaptation</w:t>
      </w:r>
    </w:p>
    <w:p w14:paraId="56BB28AB" w14:textId="77777777" w:rsidR="00F803C3" w:rsidRDefault="00000000">
      <w:pPr>
        <w:pStyle w:val="2"/>
        <w:spacing w:line="480" w:lineRule="auto"/>
      </w:pPr>
      <w:r>
        <w:t>4.1 Experimental Design</w:t>
      </w:r>
    </w:p>
    <w:p w14:paraId="65140C60" w14:textId="77777777" w:rsidR="00F803C3" w:rsidRDefault="00000000">
      <w:pPr>
        <w:spacing w:after="120" w:line="480" w:lineRule="auto"/>
        <w:ind w:firstLine="360"/>
        <w:jc w:val="both"/>
      </w:pPr>
      <w:r>
        <w:rPr>
          <w:rFonts w:eastAsia="Times New Roman"/>
        </w:rPr>
        <w: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w:t>
      </w:r>
    </w:p>
    <w:p w14:paraId="4D2B9A10" w14:textId="77777777" w:rsidR="00F803C3" w:rsidRDefault="00000000">
      <w:pPr>
        <w:spacing w:after="120" w:line="480" w:lineRule="auto"/>
        <w:ind w:firstLine="360"/>
        <w:jc w:val="both"/>
      </w:pPr>
      <w:r>
        <w:rPr>
          <w:rFonts w:eastAsia="Times New Roman"/>
        </w:rPr>
        <w:t>We compare three governance configurations using Gemma 3 4B (Gemma Team, 2024) as the primary LLM: Group A (ungoverned?aw LLM output executed directly), Group B (WAGF governance with sliding-window memory), and Group C (WAGF governance with human-centric memory and priority context schema). All groups use identical initial agent profiles, flood sequences, and random seeds to isolate the effect of governance.</w:t>
      </w:r>
    </w:p>
    <w:p w14:paraId="1CC233D4" w14:textId="77777777" w:rsidR="00F803C3" w:rsidRDefault="00000000">
      <w:pPr>
        <w:pStyle w:val="2"/>
        <w:spacing w:line="480" w:lineRule="auto"/>
      </w:pPr>
      <w:r>
        <w:t>4.2 Feasibility Hallucination and Rationality Diagnostics</w:t>
      </w:r>
    </w:p>
    <w:p w14:paraId="614B0196" w14:textId="77777777" w:rsidR="00F803C3" w:rsidRDefault="00000000">
      <w:pPr>
        <w:spacing w:after="120" w:line="480" w:lineRule="auto"/>
        <w:ind w:firstLine="360"/>
        <w:jc w:val="both"/>
      </w:pPr>
      <w:r>
        <w:t>We separate validation outcomes into feasibility hallucination and rationality deviation. Feasibility hallucination is evaluated with identity-rule checks against prior state: proposing elevation for an already elevated home, proposing insurance for an already insured household, or proposing composite actions with already-completed components. Thinking-rule failures are tracked as rationality deviations (R_R) rather than hallucinations. Year 1 is excluded because no prior state exists.</w:t>
      </w:r>
    </w:p>
    <w:p w14:paraId="1588D2D4" w14:textId="77777777" w:rsidR="00F803C3" w:rsidRDefault="1937EF80">
      <w:pPr>
        <w:spacing w:after="120" w:line="480" w:lineRule="auto"/>
        <w:ind w:firstLine="360"/>
        <w:jc w:val="both"/>
      </w:pPr>
      <w:r>
        <w:t>Using this definition, Group A exhibits a mean feasibility hallucination rate R_H of 20.84% across years 2-10, driven by redundant or infeasible proposals. Group B reduces R_H to 0.58% through governance intervention, while Group C yields 2.80% with governance plus human-centric memory. R_R is treated as a complementary coherence diagnostic derived from thinking-rule ERROR traces.</w:t>
      </w:r>
    </w:p>
    <w:p w14:paraId="3D0CC1BE" w14:textId="77777777" w:rsidR="00F803C3" w:rsidRDefault="00000000">
      <w:pPr>
        <w:pStyle w:val="2"/>
        <w:spacing w:line="480" w:lineRule="auto"/>
      </w:pPr>
      <w:r>
        <w:t>4.3 Results</w:t>
      </w:r>
    </w:p>
    <w:p w14:paraId="2D716EBD" w14:textId="77777777" w:rsidR="00F803C3" w:rsidRDefault="00000000">
      <w:pPr>
        <w:spacing w:after="120" w:line="480" w:lineRule="auto"/>
        <w:ind w:firstLine="360"/>
        <w:jc w:val="both"/>
      </w:pPr>
      <w:r>
        <w:t>Figure 2 presents the key results. Ungoverned agents (Group A) show high raw entropy (mean H_norm = 0.664) that appears to indicate rich behavioral diversity, but EBE shows this diversity is feasibility-inflated: mean EBE = 0.526 (Equation 3). Governed agents maintain higher effective diversity (Group B: EBE = 0.785, Group C: EBE = 0.782) despite lower raw entropy, because identity-rule feasibility is enforced. By construction, EBE is adjusted by R_H and not by R_R.</w:t>
      </w:r>
    </w:p>
    <w:p w14:paraId="73B224E5" w14:textId="77777777" w:rsidR="00F803C3" w:rsidRDefault="00000000">
      <w:pPr>
        <w:spacing w:after="120" w:line="480" w:lineRule="auto"/>
        <w:ind w:firstLine="360"/>
        <w:jc w:val="both"/>
      </w:pPr>
      <w:r>
        <w:rPr>
          <w:rFonts w:eastAsia="Times New Roman"/>
        </w:rPr>
        <w:t>The most striking behavioral difference is relocation. Group A produces zero cumulative relocations?gents repeatedly choose ?o nothing??or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 floods amplifies the response), while Group B adds only 1 (window memory has already forgotten early trauma).</w:t>
      </w:r>
    </w:p>
    <w:p w14:paraId="143E5609" w14:textId="77777777" w:rsidR="00F803C3" w:rsidRDefault="00000000">
      <w:pPr>
        <w:spacing w:before="240" w:after="60" w:line="480" w:lineRule="auto"/>
        <w:jc w:val="center"/>
      </w:pPr>
      <w:r>
        <w:rPr>
          <w:rFonts w:eastAsia="Times New Roman"/>
          <w:i/>
          <w:iCs/>
          <w:color w:val="CC0000"/>
        </w:rPr>
        <w:t>[FIGURE 2: Flood Results ??(a) Raw vs corrected entropy with EBE, (b) Cumulative relocation curves]</w:t>
      </w:r>
    </w:p>
    <w:p w14:paraId="36776007" w14:textId="77777777" w:rsidR="00F803C3" w:rsidRDefault="00000000">
      <w:r>
        <w:rPr>
          <w:b/>
          <w:sz w:val="20"/>
        </w:rPr>
        <w:t>Table 1 (continued). Detailed flood adaptation metrics for Gemma3 4B across three governance configurations (100 agents, 10 years). Values are mean over years 2??0.</w:t>
      </w:r>
      <w:r w:rsidR="1937EF80">
        <w:rPr>
          <w:i/>
          <w:sz w:val="20"/>
        </w:rPr>
      </w:r>
      <w:del w:id="46" w:author="Claude" w:date="2026-02-01T14:58:00Z" w16du:dateUtc="2026-02-01T14:58:02Z">
        <w:r w:rsidDel="1937EF80">
          <w:rPr>
            <w:i/>
            <w:sz w:val="20"/>
          </w:rPr>
          <w:delText>N = 900 decisions per group</w:delText>
        </w:r>
      </w:del>
      <w:ins w:id="47" w:author="Claude" w:date="2026-02-01T14:58:00Z" w16du:dateUtc="2026-02-01T14:58:02Z">
        <w:r w:rsidR="1937EF80">
          <w:rPr>
            <w:i/>
            <w:sz w:val="20"/>
          </w:rPr>
          <w:t>N = 898, 727, and 743 decisions for Groups A, B, and C respectively</w:t>
        </w:r>
      </w:ins>
      <w:r w:rsidR="1937EF80">
        <w:rPr>
          <w:i/>
          <w:sz w:val="20"/>
        </w:rPr>
      </w:r>
    </w:p>
    <w:tbl>
      <w:tblPr>
        <w:tblW w:w="0" w:type="auto"/>
        <w:jc w:val="center"/>
        <w:tblCellMar>
          <w:left w:w="10" w:type="dxa"/>
          <w:right w:w="10" w:type="dxa"/>
        </w:tblCellMar>
        <w:tblLook w:val="04A0" w:firstRow="1" w:lastRow="0" w:firstColumn="1" w:lastColumn="0" w:noHBand="0" w:noVBand="1"/>
      </w:tblPr>
      <w:tblGrid>
        <w:gridCol w:w="2256"/>
        <w:gridCol w:w="2256"/>
        <w:gridCol w:w="2256"/>
        <w:gridCol w:w="2256"/>
      </w:tblGrid>
      <w:tr w:rsidR="00F803C3" w14:paraId="02F4B0BA" w14:textId="77777777">
        <w:tblPrEx>
          <w:tblCellMar>
            <w:top w:w="0" w:type="dxa"/>
            <w:bottom w:w="0" w:type="dxa"/>
          </w:tblCellMar>
        </w:tblPrEx>
        <w:trPr>
          <w:jc w:val="center"/>
        </w:trPr>
        <w:tc>
          <w:tcPr>
            <w:tcW w:w="2256" w:type="dxa"/>
          </w:tcPr>
          <w:p w14:paraId="1CABAE55" w14:textId="77777777" w:rsidR="00F803C3" w:rsidRDefault="00000000">
            <w:pPr>
              <w:jc w:val="center"/>
            </w:pPr>
            <w:r>
              <w:rPr>
                <w:b/>
                <w:sz w:val="18"/>
              </w:rPr>
              <w:t>Metric</w:t>
            </w:r>
          </w:p>
        </w:tc>
        <w:tc>
          <w:tcPr>
            <w:tcW w:w="2256" w:type="dxa"/>
          </w:tcPr>
          <w:p w14:paraId="014BB8CB" w14:textId="77777777" w:rsidR="00F803C3" w:rsidRDefault="00000000">
            <w:pPr>
              <w:jc w:val="center"/>
            </w:pPr>
            <w:r>
              <w:rPr>
                <w:b/>
                <w:sz w:val="18"/>
              </w:rPr>
              <w:t>Group A</w:t>
            </w:r>
            <w:r>
              <w:rPr>
                <w:b/>
                <w:sz w:val="18"/>
              </w:rPr>
              <w:br/>
              <w:t>(Ungoverned)</w:t>
            </w:r>
          </w:p>
        </w:tc>
        <w:tc>
          <w:tcPr>
            <w:tcW w:w="2256" w:type="dxa"/>
          </w:tcPr>
          <w:p w14:paraId="50FCE2EA" w14:textId="77777777" w:rsidR="00F803C3" w:rsidRDefault="00000000">
            <w:pPr>
              <w:jc w:val="center"/>
            </w:pPr>
            <w:r>
              <w:rPr>
                <w:b/>
                <w:sz w:val="18"/>
              </w:rPr>
              <w:t>Group B</w:t>
            </w:r>
            <w:r>
              <w:rPr>
                <w:b/>
                <w:sz w:val="18"/>
              </w:rPr>
              <w:br/>
              <w:t>(WAGF+Window)</w:t>
            </w:r>
          </w:p>
        </w:tc>
        <w:tc>
          <w:tcPr>
            <w:tcW w:w="2256" w:type="dxa"/>
          </w:tcPr>
          <w:p w14:paraId="109A1A6E" w14:textId="77777777" w:rsidR="00F803C3" w:rsidRDefault="00000000">
            <w:pPr>
              <w:jc w:val="center"/>
            </w:pPr>
            <w:r>
              <w:rPr>
                <w:b/>
                <w:sz w:val="18"/>
              </w:rPr>
              <w:t>Group C</w:t>
            </w:r>
            <w:r>
              <w:rPr>
                <w:b/>
                <w:sz w:val="18"/>
              </w:rPr>
              <w:br/>
              <w:t>(WAGF+Human.)</w:t>
            </w:r>
          </w:p>
        </w:tc>
      </w:tr>
      <w:tr w:rsidR="00F803C3" w14:paraId="52427564" w14:textId="77777777">
        <w:tblPrEx>
          <w:tblCellMar>
            <w:top w:w="0" w:type="dxa"/>
            <w:bottom w:w="0" w:type="dxa"/>
          </w:tblCellMar>
        </w:tblPrEx>
        <w:trPr>
          <w:jc w:val="center"/>
        </w:trPr>
        <w:tc>
          <w:tcPr>
            <w:tcW w:w="2256" w:type="dxa"/>
          </w:tcPr>
          <w:p w14:paraId="002C7CFB" w14:textId="77777777" w:rsidR="00F803C3" w:rsidRDefault="00000000">
            <w:r>
              <w:rPr>
                <w:sz w:val="18"/>
              </w:rPr>
              <w:t>Hallucination Rate (RH)</w:t>
            </w:r>
          </w:p>
        </w:tc>
        <w:tc>
          <w:tcPr>
            <w:tcW w:w="2256" w:type="dxa"/>
          </w:tcPr>
          <w:p>
            <w:r>
              <w:t>20.84%</w:t>
            </w:r>
          </w:p>
        </w:tc>
        <w:tc>
          <w:tcPr>
            <w:tcW w:w="2256" w:type="dxa"/>
          </w:tcPr>
          <w:p>
            <w:r>
              <w:t>0.58%</w:t>
            </w:r>
          </w:p>
        </w:tc>
        <w:tc>
          <w:tcPr>
            <w:tcW w:w="2256" w:type="dxa"/>
          </w:tcPr>
          <w:p>
            <w:r>
              <w:t>2.80%</w:t>
            </w:r>
          </w:p>
        </w:tc>
      </w:tr>
      <w:tr w:rsidR="00F803C3" w14:paraId="3DBD30BA" w14:textId="77777777">
        <w:tblPrEx>
          <w:tblCellMar>
            <w:top w:w="0" w:type="dxa"/>
            <w:bottom w:w="0" w:type="dxa"/>
          </w:tblCellMar>
        </w:tblPrEx>
        <w:trPr>
          <w:jc w:val="center"/>
        </w:trPr>
        <w:tc>
          <w:tcPr>
            <w:tcW w:w="2256" w:type="dxa"/>
          </w:tcPr>
          <w:p w14:paraId="5A9E6F84" w14:textId="77777777" w:rsidR="00F803C3" w:rsidRDefault="00000000">
            <w:r>
              <w:rPr>
                <w:sz w:val="18"/>
              </w:rPr>
              <w:t>Total hallucinations</w:t>
            </w:r>
          </w:p>
        </w:tc>
        <w:tc>
          <w:tcPr>
            <w:tcW w:w="2256" w:type="dxa"/>
          </w:tcPr>
          <w:p>
            <w:r>
              <w:t>208</w:t>
            </w:r>
          </w:p>
        </w:tc>
        <w:tc>
          <w:tcPr>
            <w:tcW w:w="2256" w:type="dxa"/>
          </w:tcPr>
          <w:p>
            <w:r>
              <w:t>5</w:t>
            </w:r>
          </w:p>
        </w:tc>
        <w:tc>
          <w:tcPr>
            <w:tcW w:w="2256" w:type="dxa"/>
          </w:tcPr>
          <w:p>
            <w:r>
              <w:t>24</w:t>
            </w:r>
          </w:p>
        </w:tc>
      </w:tr>
      <w:tr w:rsidR="00F803C3" w14:paraId="2956E30D" w14:textId="77777777">
        <w:tblPrEx>
          <w:tblCellMar>
            <w:top w:w="0" w:type="dxa"/>
            <w:bottom w:w="0" w:type="dxa"/>
          </w:tblCellMar>
        </w:tblPrEx>
        <w:trPr>
          <w:jc w:val="center"/>
        </w:trPr>
        <w:tc>
          <w:tcPr>
            <w:tcW w:w="2256" w:type="dxa"/>
          </w:tcPr>
          <w:p w14:paraId="1E032C69" w14:textId="77777777" w:rsidR="00F803C3" w:rsidRDefault="00000000">
            <w:r>
              <w:rPr>
                <w:sz w:val="18"/>
              </w:rPr>
              <w:t>Raw Hnorm</w:t>
            </w:r>
          </w:p>
        </w:tc>
        <w:tc>
          <w:tcPr>
            <w:tcW w:w="2256" w:type="dxa"/>
          </w:tcPr>
          <w:p>
            <w:r>
              <w:t>0.664</w:t>
            </w:r>
          </w:p>
        </w:tc>
        <w:tc>
          <w:tcPr>
            <w:tcW w:w="2256" w:type="dxa"/>
          </w:tcPr>
          <w:p>
            <w:r>
              <w:t>0.790</w:t>
            </w:r>
          </w:p>
        </w:tc>
        <w:tc>
          <w:tcPr>
            <w:tcW w:w="2256" w:type="dxa"/>
          </w:tcPr>
          <w:p>
            <w:r>
              <w:t>0.804</w:t>
            </w:r>
          </w:p>
        </w:tc>
      </w:tr>
      <w:tr w:rsidR="00F803C3" w14:paraId="02EF981F" w14:textId="77777777">
        <w:tblPrEx>
          <w:tblCellMar>
            <w:top w:w="0" w:type="dxa"/>
            <w:bottom w:w="0" w:type="dxa"/>
          </w:tblCellMar>
        </w:tblPrEx>
        <w:trPr>
          <w:jc w:val="center"/>
        </w:trPr>
        <w:tc>
          <w:tcPr>
            <w:tcW w:w="2256" w:type="dxa"/>
          </w:tcPr>
          <w:p w14:paraId="0551455D" w14:textId="77777777" w:rsidR="00F803C3" w:rsidRDefault="00000000">
            <w:r>
              <w:rPr>
                <w:sz w:val="18"/>
              </w:rPr>
              <w:t>Corrected Hnorm</w:t>
            </w:r>
          </w:p>
        </w:tc>
        <w:tc>
          <w:tcPr>
            <w:tcW w:w="2256" w:type="dxa"/>
          </w:tcPr>
          <w:p>
            <w:r>
              <w:t>-</w:t>
            </w:r>
          </w:p>
        </w:tc>
        <w:tc>
          <w:tcPr>
            <w:tcW w:w="2256" w:type="dxa"/>
          </w:tcPr>
          <w:p>
            <w:r>
              <w:t>-</w:t>
            </w:r>
          </w:p>
        </w:tc>
        <w:tc>
          <w:tcPr>
            <w:tcW w:w="2256" w:type="dxa"/>
          </w:tcPr>
          <w:p>
            <w:r>
              <w:t>-</w:t>
            </w:r>
          </w:p>
        </w:tc>
      </w:tr>
      <w:tr w:rsidR="00F803C3" w14:paraId="4525F9D5" w14:textId="77777777">
        <w:tblPrEx>
          <w:tblCellMar>
            <w:top w:w="0" w:type="dxa"/>
            <w:bottom w:w="0" w:type="dxa"/>
          </w:tblCellMar>
        </w:tblPrEx>
        <w:trPr>
          <w:jc w:val="center"/>
        </w:trPr>
        <w:tc>
          <w:tcPr>
            <w:tcW w:w="2256" w:type="dxa"/>
          </w:tcPr>
          <w:p w14:paraId="3CAB8712" w14:textId="77777777" w:rsidR="00F803C3" w:rsidRDefault="00000000">
            <w:r>
              <w:rPr>
                <w:sz w:val="18"/>
              </w:rPr>
              <w:t>EBE</w:t>
            </w:r>
          </w:p>
        </w:tc>
        <w:tc>
          <w:tcPr>
            <w:tcW w:w="2256" w:type="dxa"/>
          </w:tcPr>
          <w:p>
            <w:r>
              <w:t>0.526</w:t>
            </w:r>
          </w:p>
        </w:tc>
        <w:tc>
          <w:tcPr>
            <w:tcW w:w="2256" w:type="dxa"/>
          </w:tcPr>
          <w:p>
            <w:r>
              <w:t>0.785</w:t>
            </w:r>
          </w:p>
        </w:tc>
        <w:tc>
          <w:tcPr>
            <w:tcW w:w="2256" w:type="dxa"/>
          </w:tcPr>
          <w:p>
            <w:r>
              <w:t>0.782</w:t>
            </w:r>
          </w:p>
        </w:tc>
      </w:tr>
      <w:tr w:rsidR="00F803C3" w14:paraId="78BD8F06" w14:textId="77777777">
        <w:tblPrEx>
          <w:tblCellMar>
            <w:top w:w="0" w:type="dxa"/>
            <w:bottom w:w="0" w:type="dxa"/>
          </w:tblCellMar>
        </w:tblPrEx>
        <w:trPr>
          <w:jc w:val="center"/>
        </w:trPr>
        <w:tc>
          <w:tcPr>
            <w:tcW w:w="2256" w:type="dxa"/>
          </w:tcPr>
          <w:p w14:paraId="5CEE374B" w14:textId="77777777" w:rsidR="00F803C3" w:rsidRDefault="00000000">
            <w:r>
              <w:rPr>
                <w:sz w:val="18"/>
              </w:rPr>
              <w:t>Relocated (Year 10)</w:t>
            </w:r>
          </w:p>
        </w:tc>
        <w:tc>
          <w:tcPr>
            <w:tcW w:w="2256" w:type="dxa"/>
          </w:tcPr>
          <w:p>
            <w:r>
              <w:t>0 / 100</w:t>
            </w:r>
          </w:p>
        </w:tc>
        <w:tc>
          <w:tcPr>
            <w:tcW w:w="2256" w:type="dxa"/>
          </w:tcPr>
          <w:p>
            <w:r>
              <w:t>32 / 100</w:t>
            </w:r>
          </w:p>
        </w:tc>
        <w:tc>
          <w:tcPr>
            <w:tcW w:w="2256" w:type="dxa"/>
          </w:tcPr>
          <w:p>
            <w:r>
              <w:t>37 / 100</w:t>
            </w:r>
          </w:p>
        </w:tc>
      </w:tr>
      <w:tr w:rsidR="00F803C3" w14:paraId="303FEB6D" w14:textId="77777777">
        <w:tblPrEx>
          <w:tblCellMar>
            <w:top w:w="0" w:type="dxa"/>
            <w:bottom w:w="0" w:type="dxa"/>
          </w:tblCellMar>
        </w:tblPrEx>
        <w:trPr>
          <w:jc w:val="center"/>
        </w:trPr>
        <w:tc>
          <w:tcPr>
            <w:tcW w:w="2256" w:type="dxa"/>
          </w:tcPr>
          <w:p w14:paraId="1B24C980" w14:textId="77777777" w:rsidR="00F803C3" w:rsidRDefault="00000000">
            <w:r>
              <w:rPr>
                <w:sz w:val="18"/>
              </w:rPr>
              <w:t>Active agents (Year 10)</w:t>
            </w:r>
          </w:p>
        </w:tc>
        <w:tc>
          <w:tcPr>
            <w:tcW w:w="2256" w:type="dxa"/>
          </w:tcPr>
          <w:p w14:paraId="6D52F1C3" w14:textId="77777777" w:rsidR="00F803C3" w:rsidRDefault="00000000">
            <w:pPr>
              <w:jc w:val="center"/>
            </w:pPr>
            <w:r>
              <w:rPr>
                <w:sz w:val="18"/>
              </w:rPr>
              <w:t>100</w:t>
            </w:r>
          </w:p>
        </w:tc>
        <w:tc>
          <w:tcPr>
            <w:tcW w:w="2256" w:type="dxa"/>
          </w:tcPr>
          <w:p w14:paraId="2211C3DF" w14:textId="77777777" w:rsidR="00F803C3" w:rsidRDefault="00000000">
            <w:pPr>
              <w:jc w:val="center"/>
            </w:pPr>
            <w:r>
              <w:rPr>
                <w:sz w:val="18"/>
              </w:rPr>
              <w:t>68</w:t>
            </w:r>
          </w:p>
        </w:tc>
        <w:tc>
          <w:tcPr>
            <w:tcW w:w="2256" w:type="dxa"/>
          </w:tcPr>
          <w:p w14:paraId="1E940992" w14:textId="77777777" w:rsidR="00F803C3" w:rsidRDefault="00000000">
            <w:pPr>
              <w:jc w:val="center"/>
            </w:pPr>
            <w:r>
              <w:rPr>
                <w:sz w:val="18"/>
              </w:rPr>
              <w:t>63</w:t>
            </w:r>
          </w:p>
        </w:tc>
      </w:tr>
    </w:tbl>
    <w:p w14:paraId="1F376FB8" w14:textId="77777777" w:rsidR="00F803C3" w:rsidRDefault="00000000">
      <w:r>
        <w:t>Pairwise tests (Mann-Whitney U): R_H: A vs B: U=92, p=0.002, d=2.47; A vs C: U=92.5, p=0.001, d=3.29. EBE: A vs B: U=22, p=0.038, d=0.61; A vs C: U=25, p=0.064, d=1.10. Omnibus R_H: KW=14.75, p&lt;0.001, eta=0.47; Omnibus EBE: KW=5.44, p=0.066. R_R is reported as a complementary audit-based coherence diagnostic and is not included in Equation (3).</w:t>
      </w:r>
    </w:p>
    <w:p w14:paraId="2CC5A562" w14:textId="77777777" w:rsidR="00F803C3" w:rsidRDefault="00000000">
      <w:pPr>
        <w:pStyle w:val="1"/>
        <w:spacing w:line="480" w:lineRule="auto"/>
      </w:pPr>
      <w:r>
        <w:t>5. Case Study 2: Colorado River Irrigation</w:t>
      </w:r>
    </w:p>
    <w:p w14:paraId="35667BA4" w14:textId="77777777" w:rsidR="00F803C3" w:rsidRDefault="00000000">
      <w:pPr>
        <w:pStyle w:val="2"/>
        <w:spacing w:line="480" w:lineRule="auto"/>
      </w:pPr>
      <w:r>
        <w:t>5.1 Setup</w:t>
      </w:r>
    </w:p>
    <w:p w:rsidR="BE341ECD" w:rsidRDefault="BE341ECD" w:rsidP="BE341ECD" w14:paraId="3A766A3A" w14:textId="5F141C84">
      <w:pPr>
        <w:spacing w:after="120" w:line="480" w:lineRule="auto"/>
        <w:ind w:firstLine="360"/>
        <w:jc w:val="both"/>
        <w:rPr>
          <w:ins w:id="103" w:author="Claude" w:date="2026-02-09T00:22:33Z" w16du:dateUtc="2026-02-09T00:22:33Z"/>
        </w:rPr>
      </w:pPr>
      <w:ins w:id="104" w:author="Claude" w:date="2026-02-09T00:22:33Z" w16du:dateUtc="2026-02-09T00:22:33Z">
        <w:r w:rsidR="BE341ECD">
          <w:t xml:space="preserve">To demonstrate domain transferability, we apply WAGF to irrigation demand management in the Colorado River Basin without modifying broker architecture. We instantiate 78 irrigation districts mapped one-to-one to CRSS diversion nodes (56 Upper Basin, 22 Lower Basin), simulated over 42 years (2019–2060) with CRSS PRISM precipitation projections (USBR, 2012). Three behavioral clusters derived from k-means analysis of calibrated FQL parameters (Hung and Yang, 2021) are mapped to LLM persona templates: Aggressive (large demand swings, low regret sensitivity), Forward-Looking Conservative (future-oriented, high regret sensitivity), and Myopic Conservative (status-quo biased, incremental adjustments). Agents select among five graduated skills (increase_large, increase_small, maintain_demand, decrease_small, decrease_large) through natural-language reasoning, while demand-change magnitude is independently sampled from cluster-parameterized Gaussian distributions at execution time—a hybrid agency design that separates qualitative strategic choice (LLM) from quantitative magnitude (code). Across flood and irrigation, the framework changes only in YAML-level artifacts: skill definitions, validator rules, appraisal constructs, and persona templates.</w:t>
        </w:r>
      </w:ins>
    </w:p>
    <w:p w:rsidR="BE341ECD" w:rsidRDefault="BE341ECD" w:rsidP="BE341ECD" w14:paraId="57ECC17F" w14:textId="218EF834">
      <w:pPr>
        <w:spacing w:after="120" w:line="480" w:lineRule="auto"/>
        <w:ind w:firstLine="360"/>
        <w:jc w:val="both"/>
        <w:rPr>
          <w:ins w:id="105" w:author="Claude" w:date="2026-02-09T00:22:33Z" w16du:dateUtc="2026-02-09T00:22:33Z"/>
        </w:rPr>
      </w:pPr>
      <w:ins w:id="106" w:author="Claude" w:date="2026-02-09T00:22:33Z" w16du:dateUtc="2026-02-09T00:22:33Z">
        <w:r w:rsidR="BE341ECD">
          <w:t xml:space="preserve">The irrigation domain introduces two extensions absent from the flood case. First, endogenous human–water coupling: agent demand decisions influence Lake Mead storage via an annual mass balance (SI Section S6), and the resulting elevation changes trigger USBR shortage tiers and curtailment ratios that constrain future decisions—creating a bidirectional feedback loop that the governance chain must mediate without hard-coded demand schedules. Second, a demand corridor bounds agent behavior between a per-agent floor (50% of water right; blocks over-conservation) and a basin-wide ceiling (6.0 MAF aggregate demand; blocks collective overshoot). This corridor is the institutional equivalent of the FQL reward function’s regret penalty: in reinforcement learning, over-demand is penalized through negative reward and agents self-regulate; in WAGF, the same equilibrium boundary is encoded as governance rules, reflecting how real-world administrative mechanisms (compacts, allocation limits) constrain behavior rather than relying on individual experiential learning alone.</w:t>
        </w:r>
      </w:ins>
    </w:p>
    <w:p w14:paraId="37A210A7" w14:textId="77777777" w:rsidR="CF7DCF98" w:rsidRDefault="CF7DCF98" w:rsidP="CF7DCF98">
      <w:pPr>
        <w:spacing w:after="120" w:line="480" w:lineRule="auto"/>
        <w:ind w:firstLine="360"/>
        <w:jc w:val="both"/>
      </w:pPr>
      <w:del w:id="113" w:author="Claude" w:date="2026-02-09T00:22:33Z" w16du:dateUtc="2026-02-09T00:22:33Z">
        <w:r w:rsidDel="BE341ECD">
          <w:delText>To demonstrate domain transferability, we apply WAGF to irrigation demand management in the Colorado River Basin without modifying broker architecture. We instantiate a domain configuration following Hung and Yang (2021): 78 irrigation districts mapped one-to-one to CRSS diversion nodes (56 Upper Basin, 22 Lower Basin), simulated over 42 years (2019-2060) with CRSS precipitation projections (USBR, 2012). Three behavioral clusters from Farmer Q-Learning calibration (Aggressive, Forward-Looking Conservative, Myopic Conservative) are mapped to LLM persona templates encoding risk attitude and demand-adjustment tendency (Yang et al., 2009; Hadjimichael et al., 2020). Across flood and irrigation, the framework changes only in YAML-level artifacts: skill definitions, validator rules, appraisal constructs, and persona templates.</w:delText>
        </w:r>
      </w:del>
    </w:p>
    <w:p w14:paraId="5F65BAD8" w14:textId="77777777" w:rsidR="CF7DCF98" w:rsidRDefault="CF7DCF98" w:rsidP="CF7DCF98">
      <w:pPr>
        <w:spacing w:after="120" w:line="480" w:lineRule="auto"/>
        <w:ind w:firstLine="360"/>
        <w:jc w:val="both"/>
      </w:pPr>
      <w:del w:id="114" w:author="Claude" w:date="2026-02-09T00:22:33Z" w16du:dateUtc="2026-02-09T00:22:33Z">
        <w:r w:rsidDel="BE341ECD">
          <w:delText>The irrigation domain stresses capabilities not exercised in flood adaptation: cluster-specific magnitude caps (20%/15%/8%), Colorado River Compact-linked constraints (allocation limits and drought tiers), and a dual-appraisal scheme (Water Scarcity Assessment and Adaptive Capacity Assessment) replacing flood PMT constructs. The broker pipeline, retry-and-feedback mechanism, and audit trace structure remain unchanged.</w:delText>
        </w:r>
      </w:del>
    </w:p>
    <w:p w14:paraId="7CEF31DA" w14:textId="77777777" w:rsidR="00F803C3" w:rsidRDefault="00000000">
      <w:pPr>
        <w:pStyle w:val="2"/>
        <w:spacing w:line="480" w:lineRule="auto"/>
      </w:pPr>
      <w:r>
        <w:t>5.2 Results</w:t>
      </w:r>
    </w:p>
    <w:p w:rsidR="DEBFB010" w:rsidRDefault="DEBFB010" w:rsidP="DEBFB010" w14:paraId="7C2EF5FB" w14:textId="4699E0C0">
      <w:pPr>
        <w:spacing w:after="120" w:line="480" w:lineRule="auto"/>
        <w:ind w:firstLine="360"/>
        <w:jc w:val="both"/>
        <w:rPr>
          <w:ins w:id="202" w:author="Claude" w:date="2026-02-09T04:32:32Z" w16du:dateUtc="2026-02-09T04:32:32Z"/>
        </w:rPr>
      </w:pPr>
      <w:ins w:id="203" w:author="Claude" w:date="2026-02-09T04:32:32Z" w16du:dateUtc="2026-02-09T04:32:32Z">
        <w:r w:rsidR="DEBFB010">
          <w:t xml:space="preserve">Over the full 42-year production run (78 agents, 3,276 agent-year decisions), governance outcomes remain active throughout multi-decadal simulation: 37.7% of agent-year decisions are approved on first attempt, 22.4% succeed after retry-mediated correction, and 39.8% are ultimately rejected (with maintain_demand executed as fallback). Importantly, retry-mediated recovery indicates that governance interventions function as corrective mechanisms preserving agent execution continuity, not purely terminal filters. Intervention counts are reported as governance workload indicators; because one decision can induce multiple retry attempts, retry statistics are not interpreted as counts of unique violating agents.</w:t>
        </w:r>
      </w:ins>
    </w:p>
    <w:p w:rsidR="DEBFB010" w:rsidRDefault="DEBFB010" w:rsidP="DEBFB010" w14:paraId="57B30B45" w14:textId="51CFE02B">
      <w:pPr>
        <w:spacing w:after="120" w:line="480" w:lineRule="auto"/>
        <w:ind w:firstLine="360"/>
        <w:jc w:val="both"/>
        <w:rPr>
          <w:ins w:id="204" w:author="Claude" w:date="2026-02-09T04:32:32Z" w16du:dateUtc="2026-02-09T04:32:32Z"/>
        </w:rPr>
      </w:pPr>
      <w:ins w:id="205" w:author="Claude" w:date="2026-02-09T04:32:32Z" w16du:dateUtc="2026-02-09T04:32:32Z">
        <w:r w:rsidR="DEBFB010">
          <w:t xml:space="preserve">Rule-frequency diagnostics reveal that intervention burden concentrates on hydrologically meaningful constraints. The most frequently triggered rule is demand_ceiling_stabilizer (n = 1,420), followed by high_threat_high_cope_no_increase (n = 1,180) and curtailment_awareness (n = 499), indicating that governance increasingly enforces feasibility boundaries under chronic shortage conditions. Cluster differentiation remains visible in governed outcomes and is qualitatively consistent with original FQL cluster behavior (Hung and Yang, 2021, Figure 7). Despite high rejection pressure, proposed-action diversity yields H_norm = 0.74 (normalized Shannon entropy over five skills); governance compression reduces executed diversity to H_norm = 0.39, reflecting institutional conservatism under chronic shortage. This entropy reduction quantifies how governance rules narrow the feasible action space while preserving the behavioral repertoire at the proposal stage.</w:t>
        </w:r>
      </w:ins>
    </w:p>
    <w:p w:rsidR="DEBFB010" w:rsidRDefault="DEBFB010" w:rsidP="DEBFB010" w14:paraId="6BEEC871" w14:textId="5428E894">
      <w:pPr>
        <w:spacing w:after="120" w:line="480" w:lineRule="auto"/>
        <w:ind w:firstLine="360"/>
        <w:jc w:val="both"/>
        <w:rPr>
          <w:ins w:id="206" w:author="Claude" w:date="2026-02-09T04:32:32Z" w16du:dateUtc="2026-02-09T04:32:32Z"/>
        </w:rPr>
      </w:pPr>
      <w:ins w:id="207" w:author="Claude" w:date="2026-02-09T04:32:32Z" w16du:dateUtc="2026-02-09T04:32:32Z">
        <w:r w:rsidR="DEBFB010">
          <w:t xml:space="preserve">The irrigation case validates the metric framework introduced in Section 3. Infeasible proposals (e.g., increasing demand at allocation cap, decreasing below minimum utilization) contribute to feasibility hallucination rate R_H. Coherence failures that remain technically feasible (e.g., high scarcity assessment with high adaptive capacity selecting increase) are tracked as rationality deviation R_R through thinking-rule ERROR traces, enabling cross-domain comparison of governance performance without conflating infeasibility and bounded-rational behavior (Figure 3).</w:t>
        </w:r>
      </w:ins>
    </w:p>
    <w:p w14:paraId="0051CFE8" w14:textId="77777777" w:rsidR="CF7DCF98" w:rsidRDefault="CF7DCF98" w:rsidP="CF7DCF98">
      <w:pPr>
        <w:spacing w:after="120" w:line="480" w:lineRule="auto"/>
        <w:ind w:firstLine="360"/>
        <w:jc w:val="both"/>
      </w:pPr>
      <w:del w:id="115" w:author="Claude" w:date="2026-02-09T00:22:33Z" w16du:dateUtc="2026-02-09T00:22:33Z">
        <w:r w:rsidDel="BE341ECD">
          <w:delText>Given currently archived artifacts, full 42-year simulation_log exports are pending; therefore this Technical Note reports conservative transfer evidence from complete production trace logs rather than final trajectory-fit statistics. Across 2,106 decisions in v20 (years 1-27, 78 districts), approved and rejected outcomes were 58.9% and 40.4%, with retry-mediated recovery in 19.5% of decisions. In v19 (2,169 decisions, years 1-28), corresponding rates were 70.6%, 29.2%, and 21.6%.</w:delText>
        </w:r>
      </w:del>
    </w:p>
    <w:p w14:paraId="5DA1A643" w14:textId="77777777" w:rsidR="CF7DCF98" w:rsidRDefault="CF7DCF98" w:rsidP="CF7DCF98">
      <w:pPr>
        <w:spacing w:after="120" w:line="480" w:lineRule="auto"/>
        <w:ind w:firstLine="360"/>
        <w:jc w:val="both"/>
      </w:pPr>
      <w:del w:id="116" w:author="Claude" w:date="2026-02-09T00:22:33Z" w16du:dateUtc="2026-02-09T00:22:33Z">
        <w:r w:rsidDel="BE341ECD">
          <w:delText>Despite substantial governance pressure, behavior does not collapse to a single action. In v20, approved-skill distribution spans all five actions with normalized entropy H_norm = 0.7398 (k = 5). We interpret retries and interventions as governance workload indicators, not unique-violation counts, because one decision can trigger multiple retry attempts. This supports the cross-domain claim that WAGF reduces infeasible or irrational proposals while preserving population-level behavioral diversity.</w:delText>
        </w:r>
      </w:del>
    </w:p>
    <w:p w14:paraId="1D742DE9" w14:textId="77777777" w:rsidR="CF7DCF98" w:rsidRDefault="CF7DCF98" w:rsidP="CF7DCF98">
      <w:pPr>
        <w:spacing w:after="120" w:line="480" w:lineRule="auto"/>
        <w:ind w:firstLine="360"/>
        <w:jc w:val="both"/>
      </w:pPr>
      <w:del w:id="117" w:author="Claude" w:date="2026-02-09T00:22:33Z" w16du:dateUtc="2026-02-09T00:22:33Z">
        <w:r w:rsidDel="BE341ECD">
          <w:delText>The irrigation case highlights the same metric split used in Section 3. Infeasible proposals (e.g., violating minimum-utilisation or allocation-cap identity checks) contribute to feasibility hallucination rate R_H. Coherence failures that remain technically feasible are tracked as rationality deviation R_R via thinking-rule ERROR traces. This separation allows cross-domain comparison of governance performance without conflating infeasibility and bounded-rational behavior.</w:delText>
        </w:r>
      </w:del>
    </w:p>
    <w:p w14:paraId="0D121625" w14:textId="77777777" w:rsidR="CF7DCF98" w:rsidRDefault="CF7DCF98" w:rsidP="CF7DCF98">
      <w:pPr>
        <w:spacing w:before="240" w:after="60" w:line="480" w:lineRule="auto"/>
        <w:jc w:val="center"/>
      </w:pPr>
      <w:del w:id="86" w:author="Claude" w:date="2026-02-03T02:55:00Z" w16du:dateUtc="2026-02-03T02:55:15Z">
        <w:r w:rsidDel="CB5E44CF">
          <w:rPr>
            <w:rFonts w:eastAsia="Times New Roman"/>
            <w:i/>
            <w:iCs/>
            <w:color w:val="CC0000"/>
          </w:rPr>
          <w:delText>[FIGURE 4: WAGF-governed irrigation demand vs. CRSS baseline. (a) Upper Basin, (b) Lower Basin, 2019??060. 78 real CRSS districts, Gemma 3 4B.]</w:delText>
        </w:r>
      </w:del>
      <w:ins w:id="87" w:author="Claude" w:date="2026-02-03T02:55:00Z" w16du:dateUtc="2026-02-03T02:55:15Z">
        <w:r w:rsidR="CB5E44CF">
          <w:rPr>
            <w:rFonts w:eastAsia="Times New Roman"/>
            <w:i/>
            <w:iCs/>
            <w:color w:val="CC0000"/>
          </w:rPr>
          <w:t>[FIGURE 4: Irrigation transfer diagnostics from production traces. (a) Governance outcome proportions by year (Approved, Retry-success, Rejected), (b) Top rule-trigger frequencies, (c) Approved action composition with normalized entropy. 78 CRSS districts, production traces v19-v20.]</w:t>
        </w:r>
      </w:ins>
    </w:p>
    <w:p w14:paraId="09E83C65" w14:textId="77777777" w:rsidR="00F803C3" w:rsidRDefault="00000000">
      <w:r>
        <w:br w:type="page"/>
      </w:r>
    </w:p>
    <w:p w14:paraId="2D61B5F3" w14:textId="77777777" w:rsidR="00F803C3" w:rsidRDefault="00000000">
      <w:pPr>
        <w:pStyle w:val="1"/>
        <w:spacing w:line="480" w:lineRule="auto"/>
      </w:pPr>
      <w:r>
        <w:lastRenderedPageBreak/>
        <w:t>6. Discussion</w:t>
      </w:r>
    </w:p>
    <w:p w14:paraId="188DFB27" w14:textId="77777777" w:rsidR="00F803C3" w:rsidRDefault="00000000">
      <w:pPr>
        <w:spacing w:after="120" w:line="480" w:lineRule="auto"/>
        <w:ind w:firstLine="360"/>
        <w:jc w:val="both"/>
      </w:pPr>
      <w:r>
        <w:t>EBE provides a diagnostic that raw entropy alone cannot, but its interpretation is specific: it adjusts diversity by feasibility hallucination burden (R_H). In Group A, raw H_norm averages 0.664, while EBE is 0.526 after feasibility correction, consistent with substantial infeasible proposal mass. This indicates that diversity estimates from LLM-ABM outputs can be inflated when feasibility is not accounted for. For this reason, we recommend reporting raw entropy, corrected entropy, and R_H together rather than raw entropy alone (Jost, 2006).</w:t>
      </w:r>
    </w:p>
    <w:p w14:paraId="19E8D2C6" w14:textId="77777777" w:rsidR="00F803C3" w:rsidRDefault="00000000">
      <w:pPr>
        <w:spacing w:after="120" w:line="480" w:lineRule="auto"/>
        <w:ind w:firstLine="360"/>
        <w:jc w:val="both"/>
      </w:pPr>
      <w:r>
        <w:t>Cross-model testing across Gemma 3 model sizes (4B, 12B, 27B) suggests that governance mitigates degenerate action concentration in ungoverned settings. In our runs, Gemma 3 12B under Group A shows high infeasible/degenerate behavior and near-zero EBE, whereas governed settings retain non-zero effective diversity. Under the Section 3 taxonomy, EBE tracks feasibility-adjusted diversity (R_H channel), while rationality/coherence deviations are tracked separately through R_R audit traces; these two diagnostics should be interpreted jointly rather than interchangeably (Gemma Team, 2024).</w:t>
      </w:r>
    </w:p>
    <w:p w:rsidR="E8F849E9" w:rsidRDefault="E8F849E9" w:rsidP="E8F849E9" w14:paraId="5F34C229" w14:textId="6A5F7329">
      <w:pPr>
        <w:spacing w:after="120" w:line="480" w:lineRule="auto"/>
        <w:ind w:firstLine="360"/>
        <w:jc w:val="both"/>
        <w:rPr>
          <w:ins w:id="118" w:author="Claude" w:date="2026-02-09T00:26:01Z" w16du:dateUtc="2026-02-09T00:26:01Z"/>
        </w:rPr>
      </w:pPr>
      <w:ins w:id="119" w:author="Claude" w:date="2026-02-09T00:26:01Z" w16du:dateUtc="2026-02-09T00:26:01Z">
        <w:r w:rsidR="E8F849E9">
          <w:t xml:space="preserve">A structural distinction between reinforcement-learning agents and LLM agents informs governance design. In the FQL baseline (Hung and Yang, 2021), agents update Q-values through a reward function that includes a regret penalty for over-demand; this endogenous feedback enables self-regulation without external constraints. LLM agents, by contrast, receive individual-level feedback through episodic memory (e.g., “I requested 115,000 AF but received only 95,000 AF”) and reflective summaries, but do not observe basin-level externalities: no agent is informed that collective demand exceeded available supply or that its increase contributed to another agent’s curtailment. This asymmetry — individual consequence visibility without commons-level attribution — means that even with multi-year memory, agents cannot learn to self-regulate aggregate demand. The governance layer compensates for this gap by enforcing institutional constraints (demand corridor, shortage-tier curtailment) that are functionally equivalent to the reward-based convergence mechanism in FQL. This design mirrors real-world water governance, where administrative rules (compacts, annual allocation limits) constrain behavior rather than relying on individual actors’ experiential learning (Schlager and Ostrom, 1992; Pulwarty and Melis, 2001).</w:t>
        </w:r>
      </w:ins>
    </w:p>
    <w:p w14:paraId="13EAB3F9" w14:textId="77777777" w:rsidR="00F803C3" w:rsidRDefault="9E21DE22">
      <w:pPr>
        <w:spacing w:after="120" w:line="480" w:lineRule="auto"/>
        <w:ind w:firstLine="360"/>
        <w:jc w:val="both"/>
      </w:pPr>
      <w:r w:rsidR="E8F849E9">
        <w:t>Several limitations remain. First, primary results are based on single-seed runs (N=100 agents supports within-run contrast, but cross-seed uncertainty is not quantified).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t>
      </w:r>
      <w:ins w:id="201" w:author="Claude" w:date="2026-02-07T22:00:00Z" w16du:dateUtc="2026-02-09T00:26:01Z">
        <w:r w:rsidR="E8F849E9">
          <w:rPr>
            <w:rFonts w:cs="Times New Roman"/>
          </w:rPr>
          <w:t xml:space="preserve"> Sixth, the reflection mechanism provides agents with individual action-outcome feedback but not basin-level externalities; whether richer system-level feedback could reduce governance dependence with more capable LLMs remains untested.</w:t>
        </w:r>
      </w:ins>
    </w:p>
    <w:p w14:paraId="2E071A38" w14:textId="77777777" w:rsidR="00F803C3" w:rsidRDefault="00000000">
      <w:pPr>
        <w:pStyle w:val="1"/>
        <w:spacing w:line="480" w:lineRule="auto"/>
      </w:pPr>
      <w:r>
        <w:t>7. Conclusions</w:t>
      </w:r>
    </w:p>
    <w:p w14:paraId="6185AA1D" w14:textId="77777777" w:rsidR="00F803C3" w:rsidRDefault="00000000">
      <w:pPr>
        <w:spacing w:after="120" w:line="480" w:lineRule="auto"/>
        <w:ind w:firstLine="360"/>
        <w:jc w:val="both"/>
      </w:pPr>
      <w:r>
        <w:t>We present WAGF as a governance middleware for LLM-driven agent-based modeling of human-water systems, together with a feasibility-adjusted diversity metric (EBE). Across two domains, three conclusions are supported by the reported experiments.</w:t>
      </w:r>
    </w:p>
    <w:p w14:paraId="5FDBF738" w14:textId="77777777" w:rsidR="00F803C3" w:rsidRDefault="1937EF80">
      <w:pPr>
        <w:spacing w:after="120" w:line="480" w:lineRule="auto"/>
        <w:ind w:firstLine="360"/>
        <w:jc w:val="both"/>
      </w:pPr>
      <w:r>
        <w:t>First, infeasible proposal generation is a systematic risk in ungoverned settings. In the flood case, ungoverned agents show R_H = 20.84%, indicating persistent identity/feasibility violations that are not removed by fluent text generation alone.</w:t>
      </w:r>
    </w:p>
    <w:p w14:paraId="14A813A3" w14:textId="77777777" w:rsidR="259F63AB" w:rsidRDefault="259F63AB" w:rsidP="259F63AB">
      <w:pPr>
        <w:spacing w:after="120" w:line="480" w:lineRule="auto"/>
        <w:ind w:firstLine="360"/>
        <w:jc w:val="both"/>
        <w:rPr>
          <w:ins w:id="102" w:author="Claude" w:date="2026-02-01T04:26:00Z" w16du:dateUtc="2026-02-01T04:26:18Z"/>
        </w:rPr>
      </w:pPr>
      <w:r>
        <w:t>Second, governance improves effective diversity by reducing infeasible proposal mass rather than collapsing behavior. Governed groups show higher EBE than the ungoverned baseline and substantially higher cumulative relocation, consistent with a larger share of behavior occurring inside feasible action space.</w:t>
      </w:r>
    </w:p>
    <w:p w14:paraId="0F060419" w14:textId="77777777" w:rsidR="00F803C3" w:rsidRDefault="00000000">
      <w:pPr>
        <w:spacing w:after="120" w:line="480" w:lineRule="auto"/>
        <w:ind w:firstLine="360"/>
        <w:jc w:val="both"/>
      </w:pPr>
      <w:r>
        <w:t>Third, the architecture transfers across flood and irrigation without broker-level code changes: the same runtime is instantiated through domain-specific YAML artifacts (skills, validators, constructs, personas). This supports reuse of governance infrastructure across socio-hydrological ABM settings (Giuliani et al., 2022; Castelletti et al., 2010).</w:t>
      </w:r>
    </w:p>
    <w:p w14:paraId="74D7E92D" w14:textId="77777777" w:rsidR="00F803C3" w:rsidRDefault="00000000">
      <w:pPr>
        <w:spacing w:after="120" w:line="480" w:lineRule="auto"/>
        <w:ind w:firstLine="360"/>
        <w:jc w:val="both"/>
      </w:pPr>
      <w:r w:rsidR="E8F849E9">
        <w:t xml:space="preserve">Future work should extend multi-agent interaction governance, develop data-informed rule induction, and provide fuller inferential summaries for R_R alongside R_H/EBE across domains.</w:t>
      </w:r>
      <w:ins w:id="200" w:author="Claude" w:date="2026-02-07T22:00:00Z" w16du:dateUtc="2026-02-09T00:26:01Z">
        <w:r w:rsidR="E8F849E9">
          <w:rPr>
            <w:rFonts w:cs="Times New Roman"/>
          </w:rPr>
          <w:t xml:space="preserve"> Additionally, injecting system-level feedback into agent reflection — such as basin-wide supply-demand balance or collective action outcomes — could test whether larger LLMs develop commons awareness that reduces dependence on hard governance constraints, bridging the gap between reward-based self-regulation and institutional rule enforcement.</w:t>
        </w:r>
      </w:ins>
      <w:r w:rsidR="E8F849E9">
        <w:t xml:space="preserve"> WAGF, metric definitions, and experiment code are released open-source at [GitHub URL].</w:t>
      </w:r>
    </w:p>
    <w:p w14:paraId="1A196919" w14:textId="77777777" w:rsidR="00F803C3" w:rsidRDefault="00000000">
      <w:pPr>
        <w:spacing w:after="120" w:line="480" w:lineRule="auto"/>
        <w:ind w:firstLine="360"/>
        <w:jc w:val="both"/>
      </w:pPr>
      <w:r/>
    </w:p>
    <w:p w14:paraId="5BE1A066" w14:textId="77777777" w:rsidR="00F803C3" w:rsidRDefault="00000000">
      <w:r>
        <w:br w:type="page"/>
      </w:r>
    </w:p>
    <w:p w14:paraId="79D34B5B" w14:textId="77777777" w:rsidR="00F803C3" w:rsidRDefault="00000000">
      <w:pPr>
        <w:pStyle w:val="1"/>
        <w:spacing w:line="480" w:lineRule="auto"/>
      </w:pPr>
      <w:r>
        <w:lastRenderedPageBreak/>
        <w:t>Data Availability Statement</w:t>
      </w:r>
    </w:p>
    <w:p w14:paraId="39FEEE40" w14:textId="77777777" w:rsidR="00F803C3" w:rsidRDefault="00000000">
      <w:pPr>
        <w:spacing w:after="120" w:line="480" w:lineRule="auto"/>
        <w:jc w:val="both"/>
      </w:pPr>
      <w:r>
        <w:rPr>
          <w:rFonts w:eastAsia="Times New Roman"/>
        </w:rPr>
        <w: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w:t>
      </w:r>
    </w:p>
    <w:p w14:paraId="0406E166" w14:textId="77777777" w:rsidR="00F803C3" w:rsidRDefault="00000000">
      <w:pPr>
        <w:pStyle w:val="1"/>
        <w:spacing w:line="480" w:lineRule="auto"/>
      </w:pPr>
      <w:r>
        <w:t>Conflict of Interest</w:t>
      </w:r>
    </w:p>
    <w:p w14:paraId="1701B8DC" w14:textId="77777777" w:rsidR="00F803C3" w:rsidRDefault="00000000">
      <w:pPr>
        <w:spacing w:after="120" w:line="480" w:lineRule="auto"/>
        <w:jc w:val="both"/>
      </w:pPr>
      <w:r>
        <w:rPr>
          <w:rFonts w:eastAsia="Times New Roman"/>
        </w:rPr>
        <w:t>The authors declare no conflicts of interest relevant to this study.</w:t>
      </w:r>
    </w:p>
    <w:p w14:paraId="381D893E" w14:textId="77777777" w:rsidR="00F803C3" w:rsidRDefault="00000000">
      <w:pPr>
        <w:pStyle w:val="1"/>
        <w:spacing w:line="480" w:lineRule="auto"/>
      </w:pPr>
      <w:r>
        <w:t>Author Contributions</w:t>
      </w:r>
    </w:p>
    <w:p w14:paraId="6026E7A3" w14:textId="77777777" w:rsidR="00F803C3" w:rsidRDefault="00000000">
      <w:pPr>
        <w:spacing w:after="120" w:line="480" w:lineRule="auto"/>
        <w:jc w:val="both"/>
      </w:pPr>
      <w:r>
        <w:rPr>
          <w:rFonts w:eastAsia="Times New Roman"/>
          <w:b/>
          <w:bCs/>
        </w:rPr>
        <w:t xml:space="preserve">Wen-Yu Chen: </w:t>
      </w:r>
      <w:r>
        <w:rPr>
          <w:rFonts w:eastAsia="Times New Roman"/>
        </w:rPr>
        <w:t xml:space="preserve">Conceptualization, Methodology, Software, Validation, Formal analysis, Investigation, Writing ??Original Draft, Visualization. </w:t>
      </w:r>
      <w:r>
        <w:rPr>
          <w:rFonts w:eastAsia="Times New Roman"/>
          <w:b/>
          <w:bCs/>
        </w:rPr>
        <w:t xml:space="preserve">[Second Author]: </w:t>
      </w:r>
      <w:r>
        <w:rPr>
          <w:rFonts w:eastAsia="Times New Roman"/>
        </w:rPr>
        <w:t>Supervision, Writing ??Review &amp; Editing, Funding acquisition.</w:t>
      </w:r>
    </w:p>
    <w:p w14:paraId="4F91496E" w14:textId="77777777" w:rsidR="00F803C3" w:rsidRDefault="00000000">
      <w:pPr>
        <w:pStyle w:val="1"/>
        <w:spacing w:line="480" w:lineRule="auto"/>
      </w:pPr>
      <w:r>
        <w:t>Acknowledgments</w:t>
      </w:r>
    </w:p>
    <w:p w14:paraId="13BAEC69" w14:textId="77777777" w:rsidR="00F803C3" w:rsidRDefault="00000000">
      <w:pPr>
        <w:spacing w:after="120" w:line="480" w:lineRule="auto"/>
        <w:jc w:val="both"/>
      </w:pPr>
      <w:r>
        <w:rPr>
          <w:rFonts w:eastAsia="Times New Roman"/>
        </w:rPr>
        <w:t>This work was supported by [funding source].</w:t>
      </w:r>
    </w:p>
    <w:p w14:paraId="050C3DC2" w14:textId="77777777" w:rsidR="00F803C3" w:rsidRDefault="00000000">
      <w:r>
        <w:br w:type="page"/>
      </w:r>
    </w:p>
    <w:p w14:paraId="41A9E523" w14:textId="77777777" w:rsidR="00F803C3" w:rsidRDefault="00000000">
      <w:pPr>
        <w:pStyle w:val="1"/>
        <w:spacing w:line="480" w:lineRule="auto"/>
      </w:pPr>
      <w:r>
        <w:lastRenderedPageBreak/>
        <w:t>References</w:t>
      </w:r>
    </w:p>
    <w:p w14:paraId="2DC84941" w14:textId="77777777" w:rsidR="00F803C3" w:rsidRDefault="00000000">
      <w:pPr>
        <w:spacing w:after="120" w:line="480" w:lineRule="auto"/>
        <w:jc w:val="both"/>
      </w:pPr>
      <w:r>
        <w:rPr>
          <w:rFonts w:eastAsia="Times New Roman"/>
        </w:rPr>
        <w:t xml:space="preserve">Aerts, J. C. J. H., et al. (2018). Integrating human behaviour dynamics into flood disaster risk assessment. </w:t>
      </w:r>
      <w:r>
        <w:rPr>
          <w:rFonts w:eastAsia="Times New Roman"/>
          <w:i/>
          <w:iCs/>
        </w:rPr>
        <w:t>Nature Climate Change</w:t>
      </w:r>
      <w:r>
        <w:rPr>
          <w:rFonts w:eastAsia="Times New Roman"/>
        </w:rPr>
        <w:t>, 8(3), 193??99.</w:t>
      </w:r>
    </w:p>
    <w:p w14:paraId="77AF1EC6" w14:textId="77777777" w:rsidR="00F803C3" w:rsidRDefault="00000000">
      <w:pPr>
        <w:spacing w:after="120" w:line="480" w:lineRule="auto"/>
        <w:jc w:val="both"/>
      </w:pPr>
      <w:r>
        <w:rPr>
          <w:rFonts w:eastAsia="Times New Roman"/>
        </w:rPr>
        <w:t xml:space="preserve">Bai, Y., et al. (2022). Constitutional AI: Harmlessness from AI feedback. </w:t>
      </w:r>
      <w:r>
        <w:rPr>
          <w:rFonts w:eastAsia="Times New Roman"/>
          <w:i/>
          <w:iCs/>
        </w:rPr>
        <w:t>arXiv:2212.08073</w:t>
      </w:r>
      <w:r>
        <w:rPr>
          <w:rFonts w:eastAsia="Times New Roman"/>
        </w:rPr>
        <w:t>.</w:t>
      </w:r>
    </w:p>
    <w:p w14:paraId="143C7BCE" w14:textId="77777777" w:rsidR="00F803C3" w:rsidRDefault="00000000">
      <w:pPr>
        <w:spacing w:after="120" w:line="480" w:lineRule="auto"/>
        <w:jc w:val="both"/>
      </w:pPr>
      <w:r>
        <w:rPr>
          <w:rFonts w:eastAsia="Times New Roman"/>
        </w:rPr>
        <w:t xml:space="preserve">Berglund, E. Z. (2015). Using agent-based modeling for water resources planning and management. </w:t>
      </w:r>
      <w:r>
        <w:rPr>
          <w:rFonts w:eastAsia="Times New Roman"/>
          <w:i/>
          <w:iCs/>
        </w:rPr>
        <w:t>J. Water Resour. Plan. Manag.</w:t>
      </w:r>
      <w:r>
        <w:rPr>
          <w:rFonts w:eastAsia="Times New Roman"/>
        </w:rPr>
        <w:t>, 141(11), 04015025.</w:t>
      </w:r>
    </w:p>
    <w:p w14:paraId="6F665AA3" w14:textId="77777777" w:rsidR="00F803C3" w:rsidRDefault="00000000">
      <w:pPr>
        <w:spacing w:after="120" w:line="480" w:lineRule="auto"/>
        <w:jc w:val="both"/>
      </w:pPr>
      <w:r>
        <w:rPr>
          <w:rFonts w:eastAsia="Times New Roman"/>
        </w:rPr>
        <w:t xml:space="preserve">Boiko, D. A., et al. (2023). Emergent autonomous scientific research capabilities of large language models. </w:t>
      </w:r>
      <w:r>
        <w:rPr>
          <w:rFonts w:eastAsia="Times New Roman"/>
          <w:i/>
          <w:iCs/>
        </w:rPr>
        <w:t>Nature</w:t>
      </w:r>
      <w:r>
        <w:rPr>
          <w:rFonts w:eastAsia="Times New Roman"/>
        </w:rPr>
        <w:t>, 624, 570??78.</w:t>
      </w:r>
    </w:p>
    <w:p w14:paraId="44B00006" w14:textId="77777777" w:rsidR="00F803C3" w:rsidRDefault="00000000">
      <w:pPr>
        <w:spacing w:after="120" w:line="480" w:lineRule="auto"/>
        <w:jc w:val="both"/>
      </w:pPr>
      <w:r>
        <w:rPr>
          <w:rFonts w:eastAsia="Times New Roman"/>
        </w:rPr>
        <w:t xml:space="preserve">Bubeck, P., et al. (2012). A review of risk perceptions and other factors that influence flood mitigation behavior. </w:t>
      </w:r>
      <w:r>
        <w:rPr>
          <w:rFonts w:eastAsia="Times New Roman"/>
          <w:i/>
          <w:iCs/>
        </w:rPr>
        <w:t>Risk Analysis</w:t>
      </w:r>
      <w:r>
        <w:rPr>
          <w:rFonts w:eastAsia="Times New Roman"/>
        </w:rPr>
        <w:t>, 32(9), 1481??495.</w:t>
      </w:r>
    </w:p>
    <w:p w14:paraId="2EFDB3BB" w14:textId="77777777" w:rsidR="00F803C3" w:rsidRDefault="00000000">
      <w:pPr>
        <w:spacing w:after="120" w:line="480" w:lineRule="auto"/>
        <w:jc w:val="both"/>
      </w:pPr>
      <w:r>
        <w:rPr>
          <w:rFonts w:eastAsia="Times New Roman"/>
        </w:rPr>
        <w:t xml:space="preserve">Castelletti, A., et al. (2010). Tree-based reinforcement learning for optimal water reservoir operation. </w:t>
      </w:r>
      <w:r>
        <w:rPr>
          <w:rFonts w:eastAsia="Times New Roman"/>
          <w:i/>
          <w:iCs/>
        </w:rPr>
        <w:t>Water Resour. Res.</w:t>
      </w:r>
      <w:r>
        <w:rPr>
          <w:rFonts w:eastAsia="Times New Roman"/>
        </w:rPr>
        <w:t>, 46(9), W09507.</w:t>
      </w:r>
    </w:p>
    <w:p w14:paraId="55E4E6B2" w14:textId="77777777" w:rsidR="00F803C3" w:rsidRDefault="00000000">
      <w:pPr>
        <w:spacing w:after="120" w:line="480" w:lineRule="auto"/>
        <w:jc w:val="both"/>
      </w:pPr>
      <w:r>
        <w:rPr>
          <w:rFonts w:eastAsia="Times New Roman"/>
        </w:rPr>
        <w:t xml:space="preserve">Di Baldassarre, G., et al. (2013). Socio-hydrology: Conceptualising human-flood interactions. </w:t>
      </w:r>
      <w:r>
        <w:rPr>
          <w:rFonts w:eastAsia="Times New Roman"/>
          <w:i/>
          <w:iCs/>
        </w:rPr>
        <w:t>Hydrol. Earth Syst. Sci.</w:t>
      </w:r>
      <w:r>
        <w:rPr>
          <w:rFonts w:eastAsia="Times New Roman"/>
        </w:rPr>
        <w:t>, 17(8), 3295??303.</w:t>
      </w:r>
    </w:p>
    <w:p w14:paraId="49732BBB" w14:textId="77777777" w:rsidR="00F803C3" w:rsidRDefault="00000000">
      <w:pPr>
        <w:spacing w:after="120" w:line="480" w:lineRule="auto"/>
        <w:jc w:val="both"/>
      </w:pPr>
      <w:r>
        <w:rPr>
          <w:rFonts w:eastAsia="Times New Roman"/>
        </w:rPr>
        <w:t xml:space="preserve">Filatova, T., et al. (2013). Spatial agent-based models for socio-ecological systems. </w:t>
      </w:r>
      <w:r>
        <w:rPr>
          <w:rFonts w:eastAsia="Times New Roman"/>
          <w:i/>
          <w:iCs/>
        </w:rPr>
        <w:t>Environ. Model. Softw.</w:t>
      </w:r>
      <w:r>
        <w:rPr>
          <w:rFonts w:eastAsia="Times New Roman"/>
        </w:rPr>
        <w:t>, 45, 1??.</w:t>
      </w:r>
    </w:p>
    <w:p w14:paraId="62618271" w14:textId="77777777" w:rsidR="00F803C3" w:rsidRDefault="00000000">
      <w:pPr>
        <w:spacing w:after="120" w:line="480" w:lineRule="auto"/>
        <w:jc w:val="both"/>
      </w:pPr>
      <w:r>
        <w:rPr>
          <w:rFonts w:eastAsia="Times New Roman"/>
        </w:rPr>
        <w:t xml:space="preserve">Gao, C., et al. (2024). Large language models empowered agent-based modeling and simulation: A survey. </w:t>
      </w:r>
      <w:r>
        <w:rPr>
          <w:rFonts w:eastAsia="Times New Roman"/>
          <w:i/>
          <w:iCs/>
        </w:rPr>
        <w:t>Humanit. Soc. Sci. Commun.</w:t>
      </w:r>
      <w:r>
        <w:rPr>
          <w:rFonts w:eastAsia="Times New Roman"/>
        </w:rPr>
        <w:t>, 11, 1498.</w:t>
      </w:r>
    </w:p>
    <w:p w14:paraId="51D61D44" w14:textId="77777777" w:rsidR="00F803C3" w:rsidRDefault="00000000">
      <w:pPr>
        <w:spacing w:after="120" w:line="480" w:lineRule="auto"/>
        <w:jc w:val="both"/>
      </w:pPr>
      <w:r>
        <w:rPr>
          <w:rFonts w:eastAsia="Times New Roman"/>
        </w:rPr>
        <w:t xml:space="preserve">Gemma Team (2024). Gemma: Open models based on Gemini research and technology. </w:t>
      </w:r>
      <w:r>
        <w:rPr>
          <w:rFonts w:eastAsia="Times New Roman"/>
          <w:i/>
          <w:iCs/>
        </w:rPr>
        <w:t>arXiv:2403.08295</w:t>
      </w:r>
      <w:r>
        <w:rPr>
          <w:rFonts w:eastAsia="Times New Roman"/>
        </w:rPr>
        <w:t>.</w:t>
      </w:r>
    </w:p>
    <w:p w14:paraId="1E2D88FB" w14:textId="77777777" w:rsidR="00F803C3" w:rsidRDefault="00000000">
      <w:pPr>
        <w:spacing w:after="120" w:line="480" w:lineRule="auto"/>
        <w:jc w:val="both"/>
      </w:pPr>
      <w:r>
        <w:rPr>
          <w:rFonts w:eastAsia="Times New Roman"/>
        </w:rPr>
        <w:t xml:space="preserve">Giuliani, M., et al. (2016). Is robustness really robust? </w:t>
      </w:r>
      <w:r>
        <w:rPr>
          <w:rFonts w:eastAsia="Times New Roman"/>
          <w:i/>
          <w:iCs/>
        </w:rPr>
        <w:t>Climatic Change</w:t>
      </w:r>
      <w:r>
        <w:rPr>
          <w:rFonts w:eastAsia="Times New Roman"/>
        </w:rPr>
        <w:t>, 135(3), 409??24.</w:t>
      </w:r>
    </w:p>
    <w:p w14:paraId="53ECBF67" w14:textId="77777777" w:rsidR="00F803C3" w:rsidRDefault="00000000">
      <w:pPr>
        <w:spacing w:after="120" w:line="480" w:lineRule="auto"/>
        <w:jc w:val="both"/>
      </w:pPr>
      <w:r>
        <w:rPr>
          <w:rFonts w:eastAsia="Times New Roman"/>
        </w:rPr>
        <w:t xml:space="preserve">Giuliani, M., et al. (2022). Is it worth using AI to solve the water crisis? </w:t>
      </w:r>
      <w:r>
        <w:rPr>
          <w:rFonts w:eastAsia="Times New Roman"/>
          <w:i/>
          <w:iCs/>
        </w:rPr>
        <w:t>Water Resour. Res.</w:t>
      </w:r>
      <w:r>
        <w:rPr>
          <w:rFonts w:eastAsia="Times New Roman"/>
        </w:rPr>
        <w:t xml:space="preserve">, </w:t>
      </w:r>
      <w:r>
        <w:rPr>
          <w:rFonts w:eastAsia="Times New Roman"/>
        </w:rPr>
        <w:lastRenderedPageBreak/>
        <w:t>58(4), e2021WR031219.</w:t>
      </w:r>
    </w:p>
    <w:p w14:paraId="3C77B16D" w14:textId="77777777" w:rsidR="00F803C3" w:rsidRDefault="00000000">
      <w:pPr>
        <w:spacing w:after="120" w:line="480" w:lineRule="auto"/>
        <w:jc w:val="both"/>
      </w:pPr>
      <w:r>
        <w:rPr>
          <w:rFonts w:eastAsia="Times New Roman"/>
        </w:rPr>
        <w:t xml:space="preserve">Guo, D., et al. (2025). DeepSeek-R1: Incentivizing reasoning capability in LLMs via reinforcement learning. </w:t>
      </w:r>
      <w:r>
        <w:rPr>
          <w:rFonts w:eastAsia="Times New Roman"/>
          <w:i/>
          <w:iCs/>
        </w:rPr>
        <w:t>arXiv:2501.12948</w:t>
      </w:r>
      <w:r>
        <w:rPr>
          <w:rFonts w:eastAsia="Times New Roman"/>
        </w:rPr>
        <w:t>.</w:t>
      </w:r>
    </w:p>
    <w:p w14:paraId="56DE88B9" w14:textId="77777777" w:rsidR="00F803C3" w:rsidRDefault="00000000">
      <w:pPr>
        <w:spacing w:after="120" w:line="480" w:lineRule="auto"/>
        <w:jc w:val="both"/>
      </w:pPr>
      <w:r>
        <w:rPr>
          <w:rFonts w:eastAsia="Times New Roman"/>
        </w:rPr>
        <w:t xml:space="preserve">Hadjimichael, A., et al. (2020). Defining robustness for diverse stakeholder interests in institutionally complex river basins. </w:t>
      </w:r>
      <w:r>
        <w:rPr>
          <w:rFonts w:eastAsia="Times New Roman"/>
          <w:i/>
          <w:iCs/>
        </w:rPr>
        <w:t>Earth? Future</w:t>
      </w:r>
      <w:r>
        <w:rPr>
          <w:rFonts w:eastAsia="Times New Roman"/>
        </w:rPr>
        <w:t>, 8(7), e2020EF001503.</w:t>
      </w:r>
    </w:p>
    <w:p w14:paraId="32301127" w14:textId="77777777" w:rsidR="00F803C3" w:rsidRDefault="00000000">
      <w:pPr>
        <w:spacing w:after="120" w:line="480" w:lineRule="auto"/>
        <w:jc w:val="both"/>
      </w:pPr>
      <w:r>
        <w:rPr>
          <w:rFonts w:eastAsia="Times New Roman"/>
        </w:rPr>
        <w:t xml:space="preserve">Herman, J. D., et al. (2015). How should robustness be defined for water systems planning under change? </w:t>
      </w:r>
      <w:r>
        <w:rPr>
          <w:rFonts w:eastAsia="Times New Roman"/>
          <w:i/>
          <w:iCs/>
        </w:rPr>
        <w:t>J. Water Resour. Plan. Manag.</w:t>
      </w:r>
      <w:r>
        <w:rPr>
          <w:rFonts w:eastAsia="Times New Roman"/>
        </w:rPr>
        <w:t>, 141(10), 04015012.</w:t>
      </w:r>
    </w:p>
    <w:p w14:paraId="790EC6E0" w14:textId="77777777" w:rsidR="00F803C3" w:rsidRDefault="00000000">
      <w:pPr>
        <w:spacing w:after="120" w:line="480" w:lineRule="auto"/>
        <w:jc w:val="both"/>
      </w:pPr>
      <w:r>
        <w:rPr>
          <w:rFonts w:eastAsia="Times New Roman"/>
        </w:rPr>
        <w:t xml:space="preserve">Hung, C.-L., &amp; Yang, Y. C. E. (2021). An agent-based modeling approach for water resources management under uncertainty. </w:t>
      </w:r>
      <w:r>
        <w:rPr>
          <w:rFonts w:eastAsia="Times New Roman"/>
          <w:i/>
          <w:iCs/>
        </w:rPr>
        <w:t>Water Resour. Res.</w:t>
      </w:r>
      <w:r>
        <w:rPr>
          <w:rFonts w:eastAsia="Times New Roman"/>
        </w:rPr>
        <w:t>, 57(10), e2021WR030519.</w:t>
      </w:r>
    </w:p>
    <w:p w14:paraId="46F08B0B" w14:textId="77777777" w:rsidR="00F803C3" w:rsidRDefault="00000000">
      <w:pPr>
        <w:spacing w:after="120" w:line="480" w:lineRule="auto"/>
        <w:jc w:val="both"/>
      </w:pPr>
      <w:r>
        <w:rPr>
          <w:rFonts w:eastAsia="Times New Roman"/>
        </w:rPr>
        <w:t xml:space="preserve">Ji, Z., et al. (2023). Survey of hallucination in natural language generation. </w:t>
      </w:r>
      <w:r>
        <w:rPr>
          <w:rFonts w:eastAsia="Times New Roman"/>
          <w:i/>
          <w:iCs/>
        </w:rPr>
        <w:t>ACM Comput. Surv.</w:t>
      </w:r>
      <w:r>
        <w:rPr>
          <w:rFonts w:eastAsia="Times New Roman"/>
        </w:rPr>
        <w:t>, 55(12), 1??8.</w:t>
      </w:r>
    </w:p>
    <w:p w14:paraId="1512EEA7" w14:textId="77777777" w:rsidR="00F803C3" w:rsidRDefault="00000000">
      <w:pPr>
        <w:spacing w:after="120" w:line="480" w:lineRule="auto"/>
        <w:jc w:val="both"/>
      </w:pPr>
      <w:r>
        <w:rPr>
          <w:rFonts w:eastAsia="Times New Roman"/>
        </w:rPr>
        <w:t xml:space="preserve">Jost, L. (2006). Entropy and diversity. </w:t>
      </w:r>
      <w:r>
        <w:rPr>
          <w:rFonts w:eastAsia="Times New Roman"/>
          <w:i/>
          <w:iCs/>
        </w:rPr>
        <w:t>Oikos</w:t>
      </w:r>
      <w:r>
        <w:rPr>
          <w:rFonts w:eastAsia="Times New Roman"/>
        </w:rPr>
        <w:t>, 113(2), 363??75.</w:t>
      </w:r>
    </w:p>
    <w:p w14:paraId="125A455A" w14:textId="77777777" w:rsidR="00F803C3" w:rsidRDefault="00000000">
      <w:pPr>
        <w:spacing w:after="120" w:line="480" w:lineRule="auto"/>
        <w:jc w:val="both"/>
      </w:pPr>
      <w:r>
        <w:rPr>
          <w:rFonts w:eastAsia="Times New Roman"/>
        </w:rPr>
        <w:t xml:space="preserve">Kanta, L., &amp; Zechman, E. (2014). Complex adaptive systems framework for urban water resources. </w:t>
      </w:r>
      <w:r>
        <w:rPr>
          <w:rFonts w:eastAsia="Times New Roman"/>
          <w:i/>
          <w:iCs/>
        </w:rPr>
        <w:t>J. Water Resour. Plan. Manag.</w:t>
      </w:r>
      <w:r>
        <w:rPr>
          <w:rFonts w:eastAsia="Times New Roman"/>
        </w:rPr>
        <w:t>, 140(1), 75??5.</w:t>
      </w:r>
    </w:p>
    <w:p w14:paraId="2C234884" w14:textId="77777777" w:rsidR="00F803C3" w:rsidRDefault="00000000">
      <w:pPr>
        <w:spacing w:after="120" w:line="480" w:lineRule="auto"/>
        <w:jc w:val="both"/>
      </w:pPr>
      <w:r>
        <w:rPr>
          <w:rFonts w:eastAsia="Times New Roman"/>
        </w:rPr>
        <w:t>Ollama (2024). Ollama: Run large language models locally. https://ollama.com</w:t>
      </w:r>
    </w:p>
    <w:p w14:paraId="60A1B9FB" w14:textId="77777777" w:rsidR="00F803C3" w:rsidRDefault="00000000">
      <w:pPr>
        <w:spacing w:after="120" w:line="480" w:lineRule="auto"/>
        <w:jc w:val="both"/>
      </w:pPr>
      <w:r>
        <w:rPr>
          <w:rFonts w:eastAsia="Times New Roman"/>
        </w:rPr>
        <w:t xml:space="preserve">Ouyang, L., et al. (2022). Training language models to follow instructions with human feedback. </w:t>
      </w:r>
      <w:r>
        <w:rPr>
          <w:rFonts w:eastAsia="Times New Roman"/>
          <w:i/>
          <w:iCs/>
        </w:rPr>
        <w:t>NeurIPS</w:t>
      </w:r>
      <w:r>
        <w:rPr>
          <w:rFonts w:eastAsia="Times New Roman"/>
        </w:rPr>
        <w:t>, 35, 27730??7744.</w:t>
      </w:r>
    </w:p>
    <w:p w14:paraId="3768BDB5" w14:textId="77777777" w:rsidR="00F803C3" w:rsidRDefault="00000000">
      <w:pPr>
        <w:spacing w:after="120" w:line="480" w:lineRule="auto"/>
        <w:jc w:val="both"/>
      </w:pPr>
      <w:r>
        <w:rPr>
          <w:rFonts w:eastAsia="Times New Roman"/>
        </w:rPr>
        <w:t xml:space="preserve">Park, J. S., et al. (2023). Generative agents: Interactive simulacra of human behavior. </w:t>
      </w:r>
      <w:r>
        <w:rPr>
          <w:rFonts w:eastAsia="Times New Roman"/>
          <w:i/>
          <w:iCs/>
        </w:rPr>
        <w:t>ACM UIST</w:t>
      </w:r>
      <w:r>
        <w:rPr>
          <w:rFonts w:eastAsia="Times New Roman"/>
        </w:rPr>
        <w:t>, 1??2.</w:t>
      </w:r>
    </w:p>
    <w:p w14:paraId="48429555" w14:textId="77777777" w:rsidR="00F803C3" w:rsidRDefault="00000000">
      <w:pPr>
        <w:spacing w:after="120" w:line="480" w:lineRule="auto"/>
        <w:jc w:val="both"/>
      </w:pPr>
      <w:r>
        <w:rPr>
          <w:rFonts w:eastAsia="Times New Roman"/>
        </w:rPr>
        <w:t xml:space="preserve">Rao, A. S., &amp; Georgeff, M. P. (1995). BDI agents: From theory to practice. </w:t>
      </w:r>
      <w:r>
        <w:rPr>
          <w:rFonts w:eastAsia="Times New Roman"/>
          <w:i/>
          <w:iCs/>
        </w:rPr>
        <w:t>Proc. 1st Int. Conf. Multi-Agent Syst.</w:t>
      </w:r>
      <w:r>
        <w:rPr>
          <w:rFonts w:eastAsia="Times New Roman"/>
        </w:rPr>
        <w:t>, 312??19.</w:t>
      </w:r>
    </w:p>
    <w:p w14:paraId="3D67A9C8" w14:textId="77777777" w:rsidR="00F803C3" w:rsidRDefault="00000000">
      <w:pPr>
        <w:spacing w:after="120" w:line="480" w:lineRule="auto"/>
        <w:jc w:val="both"/>
      </w:pPr>
      <w:r>
        <w:rPr>
          <w:rFonts w:eastAsia="Times New Roman"/>
        </w:rPr>
        <w:t xml:space="preserve">Rogers, R. W. (1975). A protection motivation theory of fear appeals and attitude change. </w:t>
      </w:r>
      <w:r>
        <w:rPr>
          <w:rFonts w:eastAsia="Times New Roman"/>
          <w:i/>
          <w:iCs/>
        </w:rPr>
        <w:t>The Journal of Psychology</w:t>
      </w:r>
      <w:r>
        <w:rPr>
          <w:rFonts w:eastAsia="Times New Roman"/>
        </w:rPr>
        <w:t>, 91(1), 93??14.</w:t>
      </w:r>
    </w:p>
    <w:p w14:paraId="4CE93792" w14:textId="77777777" w:rsidR="00F803C3" w:rsidRDefault="00000000">
      <w:pPr>
        <w:spacing w:after="120" w:line="480" w:lineRule="auto"/>
        <w:jc w:val="both"/>
      </w:pPr>
      <w:r>
        <w:rPr>
          <w:rFonts w:eastAsia="Times New Roman"/>
        </w:rPr>
        <w:lastRenderedPageBreak/>
        <w:t xml:space="preserve">Rogers, R. W. (1983). Cognitive and psychological processes in fear appeals and attitude change. In J. Cacioppo &amp; R. Petty (Eds.), </w:t>
      </w:r>
      <w:r>
        <w:rPr>
          <w:rFonts w:eastAsia="Times New Roman"/>
          <w:i/>
          <w:iCs/>
        </w:rPr>
        <w:t>Social Psychophysiology</w:t>
      </w:r>
      <w:r>
        <w:rPr>
          <w:rFonts w:eastAsia="Times New Roman"/>
        </w:rPr>
        <w:t xml:space="preserve"> (pp. 153??76). Guilford Press.</w:t>
      </w:r>
    </w:p>
    <w:p w14:paraId="2A05B4AE" w14:textId="77777777" w:rsidR="00F803C3" w:rsidRDefault="00000000">
      <w:pPr>
        <w:spacing w:after="120" w:line="480" w:lineRule="auto"/>
        <w:jc w:val="both"/>
      </w:pPr>
      <w:r>
        <w:rPr>
          <w:rFonts w:eastAsia="Times New Roman"/>
        </w:rPr>
        <w:t xml:space="preserve">Shannon, C. E. (1948). A mathematical theory of communication. </w:t>
      </w:r>
      <w:r>
        <w:rPr>
          <w:rFonts w:eastAsia="Times New Roman"/>
          <w:i/>
          <w:iCs/>
        </w:rPr>
        <w:t>Bell Syst. Tech. J.</w:t>
      </w:r>
      <w:r>
        <w:rPr>
          <w:rFonts w:eastAsia="Times New Roman"/>
        </w:rPr>
        <w:t>, 27(3), 379??23.</w:t>
      </w:r>
    </w:p>
    <w:p w14:paraId="37F14C7B" w14:textId="77777777" w:rsidR="00F803C3" w:rsidRDefault="00000000">
      <w:pPr>
        <w:spacing w:after="120" w:line="480" w:lineRule="auto"/>
        <w:jc w:val="both"/>
      </w:pPr>
      <w:r>
        <w:rPr>
          <w:rFonts w:eastAsia="Times New Roman"/>
        </w:rPr>
        <w:t xml:space="preserve">Shumailov, I., et al. (2024). AI models collapse when trained on recursively generated data. </w:t>
      </w:r>
      <w:r>
        <w:rPr>
          <w:rFonts w:eastAsia="Times New Roman"/>
          <w:i/>
          <w:iCs/>
        </w:rPr>
        <w:t>Nature</w:t>
      </w:r>
      <w:r>
        <w:rPr>
          <w:rFonts w:eastAsia="Times New Roman"/>
        </w:rPr>
        <w:t>, 631, 755??59.</w:t>
      </w:r>
    </w:p>
    <w:p w14:paraId="3F0FD949" w14:textId="77777777" w:rsidR="00F803C3" w:rsidRDefault="00000000">
      <w:pPr>
        <w:spacing w:after="120" w:line="480" w:lineRule="auto"/>
        <w:jc w:val="both"/>
      </w:pPr>
      <w:r>
        <w:rPr>
          <w:rFonts w:eastAsia="Times New Roman"/>
        </w:rPr>
        <w:t xml:space="preserve">Sivapalan, M., et al. (2012). Socio-hydrology: A new science of people and water. </w:t>
      </w:r>
      <w:r>
        <w:rPr>
          <w:rFonts w:eastAsia="Times New Roman"/>
          <w:i/>
          <w:iCs/>
        </w:rPr>
        <w:t>Hydrol. Process.</w:t>
      </w:r>
      <w:r>
        <w:rPr>
          <w:rFonts w:eastAsia="Times New Roman"/>
        </w:rPr>
        <w:t>, 26(8), 1270??276.</w:t>
      </w:r>
    </w:p>
    <w:p w14:paraId="5E0F8DC0" w14:textId="77777777" w:rsidR="00F803C3" w:rsidRDefault="00000000">
      <w:pPr>
        <w:spacing w:after="120" w:line="480" w:lineRule="auto"/>
        <w:jc w:val="both"/>
      </w:pPr>
      <w:r>
        <w:rPr>
          <w:rFonts w:eastAsia="Times New Roman"/>
        </w:rPr>
        <w:t xml:space="preserve">Touvron, H., et al. (2023). Llama 2: Open foundation and fine-tuned chat models. </w:t>
      </w:r>
      <w:r>
        <w:rPr>
          <w:rFonts w:eastAsia="Times New Roman"/>
          <w:i/>
          <w:iCs/>
        </w:rPr>
        <w:t>arXiv:2307.09288</w:t>
      </w:r>
      <w:r>
        <w:rPr>
          <w:rFonts w:eastAsia="Times New Roman"/>
        </w:rPr>
        <w:t>.</w:t>
      </w:r>
    </w:p>
    <w:p w14:paraId="15BDDC7D" w14:textId="77777777" w:rsidR="00F803C3" w:rsidRDefault="00000000">
      <w:pPr>
        <w:spacing w:after="120" w:line="480" w:lineRule="auto"/>
        <w:jc w:val="both"/>
      </w:pPr>
      <w:r>
        <w:rPr>
          <w:rFonts w:eastAsia="Times New Roman"/>
        </w:rPr>
        <w:t>U.S. Bureau of Reclamation (2012). Colorado River Simulation System (CRSS). Washington, DC.</w:t>
      </w:r>
    </w:p>
    <w:p w14:paraId="2FC063CE" w14:textId="77777777" w:rsidR="00F803C3" w:rsidRDefault="00000000">
      <w:pPr>
        <w:spacing w:after="120" w:line="480" w:lineRule="auto"/>
        <w:jc w:val="both"/>
      </w:pPr>
      <w:r>
        <w:rPr>
          <w:rFonts w:eastAsia="Times New Roman"/>
        </w:rPr>
        <w:t xml:space="preserve">Wei, J., et al. (2022). Chain-of-thought prompting elicits reasoning in large language models. </w:t>
      </w:r>
      <w:r>
        <w:rPr>
          <w:rFonts w:eastAsia="Times New Roman"/>
          <w:i/>
          <w:iCs/>
        </w:rPr>
        <w:t>NeurIPS</w:t>
      </w:r>
      <w:r>
        <w:rPr>
          <w:rFonts w:eastAsia="Times New Roman"/>
        </w:rPr>
        <w:t>, 35, 24824??4837.</w:t>
      </w:r>
    </w:p>
    <w:p w14:paraId="02C198C0" w14:textId="77777777" w:rsidR="00F803C3" w:rsidRDefault="00000000">
      <w:pPr>
        <w:spacing w:after="120" w:line="480" w:lineRule="auto"/>
        <w:jc w:val="both"/>
      </w:pPr>
      <w:r>
        <w:rPr>
          <w:rFonts w:eastAsia="Times New Roman"/>
        </w:rPr>
        <w:t xml:space="preserve">Yang, Y. C. E., et al. (2009). A decentralized optimization algorithm for multiagent system-based watershed management. </w:t>
      </w:r>
      <w:r>
        <w:rPr>
          <w:rFonts w:eastAsia="Times New Roman"/>
          <w:i/>
          <w:iCs/>
        </w:rPr>
        <w:t>Water Resour. Res.</w:t>
      </w:r>
      <w:r>
        <w:rPr>
          <w:rFonts w:eastAsia="Times New Roman"/>
        </w:rPr>
        <w:t>, 45(8), W08430.</w:t>
      </w:r>
    </w:p>
    <w:sectPr w:rsidR="00F803C3">
      <w:headerReference w:type="default" ns4:id="rId7"/>
      <w:footerReference w:type="default" ns4:id="rId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 w:val="BE341ECD"/>
    <w:rsid w:val="E8F849E9"/>
    <w:rsid w:val="DEBFB010"/>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27A72"/>
  <w15:docId w15:val="{06CCC1A7-33B5-4603-99BA-173FF5ED8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