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28"/>
        </w:rPr>
        <w:t>Flood Domain — Governance Effectiveness: 6 Models × 2 Metrics</w:t>
      </w:r>
    </w:p>
    <w:p>
      <w:pPr>
        <w:jc w:val="center"/>
      </w:pPr>
      <w:r>
        <w:rPr>
          <w:color w:val="777777"/>
          <w:sz w:val="18"/>
        </w:rPr>
        <w:t>100 agents × 10 years × 3 seeds  |  Gemma-3 + Ministral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F5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</w:r>
          </w:p>
        </w:tc>
        <w:tc>
          <w:tcPr>
            <w:tcW w:type="dxa" w:w="3840"/>
            <w:gridSpan w:val="4"/>
            <w:shd w:fill="2F5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IBR — Irrational Behaviour Rate (%, ↓ better)</w:t>
            </w:r>
          </w:p>
        </w:tc>
        <w:tc>
          <w:tcPr>
            <w:tcW w:type="dxa" w:w="3840"/>
            <w:gridSpan w:val="4"/>
            <w:shd w:fill="2F54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EHE — Strategy Diversity (0–1, ↑ better)</w:t>
            </w:r>
          </w:p>
        </w:tc>
      </w:tr>
      <w:tr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Model</w:t>
            </w:r>
          </w:p>
        </w:tc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Ungov.</w:t>
            </w:r>
          </w:p>
        </w:tc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Gov.</w:t>
            </w:r>
          </w:p>
        </w:tc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Diff</w:t>
            </w:r>
          </w:p>
        </w:tc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Change</w:t>
            </w:r>
          </w:p>
        </w:tc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Ungov.</w:t>
            </w:r>
          </w:p>
        </w:tc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Gov.</w:t>
            </w:r>
          </w:p>
        </w:tc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Diff</w:t>
            </w:r>
          </w:p>
        </w:tc>
        <w:tc>
          <w:tcPr>
            <w:tcW w:type="dxa" w:w="960"/>
            <w:shd w:fill="D6DCE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222222"/>
                <w:sz w:val="17"/>
              </w:rPr>
              <w:t>Change</w:t>
            </w:r>
          </w:p>
        </w:tc>
      </w:tr>
      <w:tr>
        <w:tc>
          <w:tcPr>
            <w:tcW w:type="dxa" w:w="960"/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Gemma-3 4B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1.15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0.86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-0.29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-25%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0.307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0.636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+0.329*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+107%</w:t>
            </w:r>
          </w:p>
        </w:tc>
      </w:tr>
      <w:tr>
        <w:tc>
          <w:tcPr>
            <w:tcW w:type="dxa" w:w="96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Gemma-3 12B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3.35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0.15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-3.20*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-96%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0.282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0.310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+0.028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+10%</w:t>
            </w:r>
          </w:p>
        </w:tc>
      </w:tr>
      <w:tr>
        <w:tc>
          <w:tcPr>
            <w:tcW w:type="dxa" w:w="960"/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Gemma-3 27B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0.78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0.33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-0.45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-58%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0.322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0.496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+0.174*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+54%</w:t>
            </w:r>
          </w:p>
        </w:tc>
      </w:tr>
      <w:tr>
        <w:tc>
          <w:tcPr>
            <w:tcW w:type="dxa" w:w="96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Ministral 3B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8.89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1.70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-7.19*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-81%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0.373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0.571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+0.198*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+53%</w:t>
            </w:r>
          </w:p>
        </w:tc>
      </w:tr>
      <w:tr>
        <w:tc>
          <w:tcPr>
            <w:tcW w:type="dxa" w:w="960"/>
            <w:shd w:fill="F2F2F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Ministral 8B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1.56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0.13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-1.43*</w:t>
            </w:r>
          </w:p>
        </w:tc>
        <w:tc>
          <w:tcPr>
            <w:tcW w:type="dxa" w:w="960"/>
            <w:shd w:fill="F2F2F2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-92%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0.555</w:t>
            </w:r>
          </w:p>
        </w:tc>
        <w:tc>
          <w:tcPr>
            <w:tcW w:type="dxa" w:w="960"/>
            <w:shd w:fill="F2F2F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0.531</w:t>
            </w:r>
          </w:p>
        </w:tc>
        <w:tc>
          <w:tcPr>
            <w:tcW w:type="dxa" w:w="960"/>
            <w:shd w:fill="F2F2F2"/>
            <w:shd w:fill="FFC7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9C0006"/>
                <w:sz w:val="18"/>
              </w:rPr>
              <w:t>-0.024</w:t>
            </w:r>
          </w:p>
        </w:tc>
        <w:tc>
          <w:tcPr>
            <w:tcW w:type="dxa" w:w="960"/>
            <w:shd w:fill="F2F2F2"/>
            <w:shd w:fill="FFC7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9C0006"/>
                <w:sz w:val="18"/>
              </w:rPr>
              <w:t>-4%</w:t>
            </w:r>
          </w:p>
        </w:tc>
      </w:tr>
      <w:tr>
        <w:tc>
          <w:tcPr>
            <w:tcW w:type="dxa" w:w="96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color w:val="222222"/>
                <w:sz w:val="18"/>
              </w:rPr>
              <w:t>Ministral 14B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11.61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0.40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-11.21*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-97%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0.572</w:t>
            </w:r>
          </w:p>
        </w:tc>
        <w:tc>
          <w:tcPr>
            <w:tcW w:type="dxa" w:w="96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222222"/>
                <w:sz w:val="18"/>
              </w:rPr>
              <w:t>0.605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+0.033</w:t>
            </w:r>
          </w:p>
        </w:tc>
        <w:tc>
          <w:tcPr>
            <w:tcW w:type="dxa" w:w="960"/>
            <w:shd w:fill="FFFFFF"/>
            <w:shd w:fill="C6EFCE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color w:val="006100"/>
                <w:sz w:val="18"/>
              </w:rPr>
              <w:t>+6%</w:t>
            </w:r>
          </w:p>
        </w:tc>
      </w:tr>
    </w:tbl>
    <w:p/>
    <w:p>
      <w:r>
        <w:rPr>
          <w:b/>
          <w:color w:val="2F5496"/>
          <w:sz w:val="20"/>
        </w:rPr>
        <w:t>Key Findings:</w:t>
      </w:r>
    </w:p>
    <w:p>
      <w:pPr>
        <w:pStyle w:val="ListBullet"/>
      </w:pPr>
      <w:r>
        <w:rPr>
          <w:sz w:val="18"/>
        </w:rPr>
        <w:t>IBR reduced in ALL 6 models (4/6 significant*) — governance nearly eliminates physically irrational decisions</w:t>
      </w:r>
    </w:p>
    <w:p>
      <w:pPr>
        <w:pStyle w:val="ListBullet"/>
      </w:pPr>
      <w:r>
        <w:rPr>
          <w:sz w:val="18"/>
        </w:rPr>
        <w:t>Largest: Ministral 14B drops 96.6% (11.61→0.40) — biggest models benefit most from governance</w:t>
      </w:r>
    </w:p>
    <w:p>
      <w:pPr>
        <w:pStyle w:val="ListBullet"/>
      </w:pPr>
      <w:r>
        <w:rPr>
          <w:sz w:val="18"/>
        </w:rPr>
        <w:t>EHE increased in 5/6 models (3/6 significant*) — governance expands, not restricts, decision diversity</w:t>
      </w:r>
    </w:p>
    <w:p>
      <w:pPr>
        <w:pStyle w:val="ListBullet"/>
      </w:pPr>
      <w:r>
        <w:rPr>
          <w:sz w:val="18"/>
        </w:rPr>
        <w:t>Only exception: Ministral 8B EHE slightly negative (−0.024) — already high baseline diversity (0.555)</w:t>
      </w:r>
    </w:p>
    <w:p>
      <w:pPr>
        <w:pStyle w:val="ListBullet"/>
      </w:pPr>
      <w:r>
        <w:rPr>
          <w:sz w:val="18"/>
        </w:rPr>
        <w:t>Cross-architecture: holds for BOTH Gemma-3 and Ministral → framework-general, not model-specific</w:t>
      </w:r>
    </w:p>
    <w:p>
      <w:r>
        <w:rPr>
          <w:color w:val="999999"/>
          <w:sz w:val="15"/>
        </w:rPr>
        <w:t>* p &lt; 0.05 (Mann-Whitney U). Green = improvement. Red = regression. All: 100 agents × 10 yr × 3 seeds, flood domain.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