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28"/>
        </w:rPr>
        <w:t>Irrigation Domain — Framework Effectiveness Summary</w:t>
      </w:r>
    </w:p>
    <w:p>
      <w:pPr>
        <w:jc w:val="center"/>
      </w:pPr>
      <w:r>
        <w:rPr>
          <w:color w:val="777777"/>
          <w:sz w:val="18"/>
        </w:rPr>
        <w:t>78 CRSS agents × 42 years × 3 seeds  |  Gemma-3 4B  |  Colorado River Basin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4936"/>
            <w:gridSpan w:val="4"/>
            <w:shd w:fill="2F5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Governed vs Ungoverned (core comparison)</w:t>
            </w:r>
          </w:p>
        </w:tc>
        <w:tc>
          <w:tcPr>
            <w:tcW w:type="dxa" w:w="2468"/>
            <w:gridSpan w:val="2"/>
            <w:shd w:fill="8FAAD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Ablation references</w:t>
            </w:r>
          </w:p>
        </w:tc>
      </w:tr>
      <w:tr>
        <w:tc>
          <w:tcPr>
            <w:tcW w:type="dxa" w:w="1234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Metric</w:t>
            </w:r>
          </w:p>
        </w:tc>
        <w:tc>
          <w:tcPr>
            <w:tcW w:type="dxa" w:w="1234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Ungov.</w:t>
            </w:r>
          </w:p>
        </w:tc>
        <w:tc>
          <w:tcPr>
            <w:tcW w:type="dxa" w:w="1234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Governed</w:t>
            </w:r>
          </w:p>
        </w:tc>
        <w:tc>
          <w:tcPr>
            <w:tcW w:type="dxa" w:w="1234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Diff</w:t>
            </w:r>
          </w:p>
        </w:tc>
        <w:tc>
          <w:tcPr>
            <w:tcW w:type="dxa" w:w="1234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Change</w:t>
            </w:r>
          </w:p>
        </w:tc>
        <w:tc>
          <w:tcPr>
            <w:tcW w:type="dxa" w:w="1234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A1 (No Ceil.)</w:t>
            </w:r>
          </w:p>
        </w:tc>
        <w:tc>
          <w:tcPr>
            <w:tcW w:type="dxa" w:w="1234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FQL Baseline</w:t>
            </w:r>
          </w:p>
        </w:tc>
      </w:tr>
      <w:tr>
        <w:tc>
          <w:tcPr>
            <w:tcW w:type="dxa" w:w="1234"/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Mean demand ratio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0.288 ± 0.020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0.394 ± 0.004</w:t>
            </w:r>
          </w:p>
        </w:tc>
        <w:tc>
          <w:tcPr>
            <w:tcW w:type="dxa" w:w="1234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+0.106</w:t>
            </w:r>
          </w:p>
        </w:tc>
        <w:tc>
          <w:tcPr>
            <w:tcW w:type="dxa" w:w="1234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+37%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0.440 ± 0.012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0.395 ± 0.008</w:t>
            </w:r>
          </w:p>
        </w:tc>
      </w:tr>
      <w:tr>
        <w:tc>
          <w:tcPr>
            <w:tcW w:type="dxa" w:w="1234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42-yr mean Mead elev. (ft)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1,173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1,094</w:t>
            </w:r>
          </w:p>
        </w:tc>
        <w:tc>
          <w:tcPr>
            <w:tcW w:type="dxa" w:w="1234"/>
            <w:shd w:fill="FFFFFF"/>
            <w:shd w:fill="FFF2C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7F6000"/>
                <w:sz w:val="18"/>
              </w:rPr>
              <w:t>-79.0</w:t>
            </w:r>
          </w:p>
        </w:tc>
        <w:tc>
          <w:tcPr>
            <w:tcW w:type="dxa" w:w="1234"/>
            <w:shd w:fill="FFFFFF"/>
            <w:shd w:fill="FFF2C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7F6000"/>
                <w:sz w:val="18"/>
              </w:rPr>
              <w:t>-7%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1,069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1,065</w:t>
            </w:r>
          </w:p>
        </w:tc>
      </w:tr>
      <w:tr>
        <w:tc>
          <w:tcPr>
            <w:tcW w:type="dxa" w:w="1234"/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Demand–Mead coupling (r)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0.378 ± 0.081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0.547 ± 0.083</w:t>
            </w:r>
          </w:p>
        </w:tc>
        <w:tc>
          <w:tcPr>
            <w:tcW w:type="dxa" w:w="1234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+0.169</w:t>
            </w:r>
          </w:p>
        </w:tc>
        <w:tc>
          <w:tcPr>
            <w:tcW w:type="dxa" w:w="1234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+45%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0.234 ± 0.127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0.057 ± 0.323</w:t>
            </w:r>
          </w:p>
        </w:tc>
      </w:tr>
      <w:tr>
        <w:tc>
          <w:tcPr>
            <w:tcW w:type="dxa" w:w="1234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Shortage years (/42)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5.0 ± 1.7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13.3 ± 1.5</w:t>
            </w:r>
          </w:p>
        </w:tc>
        <w:tc>
          <w:tcPr>
            <w:tcW w:type="dxa" w:w="1234"/>
            <w:shd w:fill="FFFFFF"/>
            <w:shd w:fill="FFF2C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7F6000"/>
                <w:sz w:val="18"/>
              </w:rPr>
              <w:t>+8.3</w:t>
            </w:r>
          </w:p>
        </w:tc>
        <w:tc>
          <w:tcPr>
            <w:tcW w:type="dxa" w:w="1234"/>
            <w:shd w:fill="FFFFFF"/>
            <w:shd w:fill="FFF2C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7F6000"/>
                <w:sz w:val="18"/>
              </w:rPr>
              <w:t>+166%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25.3 ± 1.5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24.7 ± 9.1</w:t>
            </w:r>
          </w:p>
        </w:tc>
      </w:tr>
      <w:tr>
        <w:tc>
          <w:tcPr>
            <w:tcW w:type="dxa" w:w="1234"/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Min Mead elevation (ft)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1,001 ± 0.4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1,002 ± 1</w:t>
            </w:r>
          </w:p>
        </w:tc>
        <w:tc>
          <w:tcPr>
            <w:tcW w:type="dxa" w:w="1234"/>
            <w:shd w:fill="F2F2F2"/>
            <w:shd w:fill="FFF2C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7F6000"/>
                <w:sz w:val="18"/>
              </w:rPr>
              <w:t>+1.0</w:t>
            </w:r>
          </w:p>
        </w:tc>
        <w:tc>
          <w:tcPr>
            <w:tcW w:type="dxa" w:w="1234"/>
            <w:shd w:fill="F2F2F2"/>
            <w:shd w:fill="FFF2CC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7F6000"/>
                <w:sz w:val="18"/>
              </w:rPr>
              <w:t>+0%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984 ± 11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1,020 ± 4</w:t>
            </w:r>
          </w:p>
        </w:tc>
      </w:tr>
      <w:tr>
        <w:tc>
          <w:tcPr>
            <w:tcW w:type="dxa" w:w="1234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Strategy diversity (EHE)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0.637 ± 0.017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0.738 ± 0.017</w:t>
            </w:r>
          </w:p>
        </w:tc>
        <w:tc>
          <w:tcPr>
            <w:tcW w:type="dxa" w:w="1234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+0.101</w:t>
            </w:r>
          </w:p>
        </w:tc>
        <w:tc>
          <w:tcPr>
            <w:tcW w:type="dxa" w:w="1234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+16%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0.793 ± 0.002</w:t>
            </w:r>
          </w:p>
        </w:tc>
        <w:tc>
          <w:tcPr>
            <w:tcW w:type="dxa" w:w="1234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234"/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Behavioural Rationality (BRI %)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9.4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58.0</w:t>
            </w:r>
          </w:p>
        </w:tc>
        <w:tc>
          <w:tcPr>
            <w:tcW w:type="dxa" w:w="1234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+48.6</w:t>
            </w:r>
          </w:p>
        </w:tc>
        <w:tc>
          <w:tcPr>
            <w:tcW w:type="dxa" w:w="1234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+517%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1234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</w:tr>
    </w:tbl>
    <w:p/>
    <w:p>
      <w:r>
        <w:rPr>
          <w:b/>
          <w:color w:val="2F5496"/>
          <w:sz w:val="20"/>
        </w:rPr>
        <w:t>Key Findings:</w:t>
      </w:r>
    </w:p>
    <w:p>
      <w:pPr>
        <w:pStyle w:val="ListBullet"/>
      </w:pPr>
      <w:r>
        <w:rPr>
          <w:sz w:val="18"/>
        </w:rPr>
        <w:t>Governed agents extract +37% MORE water (0.394 vs 0.288) while coupling to drought (r = 0.547) → adaptive exploitation</w:t>
      </w:r>
    </w:p>
    <w:p>
      <w:pPr>
        <w:pStyle w:val="ListBullet"/>
      </w:pPr>
      <w:r>
        <w:rPr>
          <w:sz w:val="18"/>
        </w:rPr>
        <w:t>Removing 1 rule of 12 (demand ceiling) → coupling collapses (0.547 → 0.234), shortage doubles → institutional rule decomposition</w:t>
      </w:r>
    </w:p>
    <w:p>
      <w:pPr>
        <w:pStyle w:val="ListBullet"/>
      </w:pPr>
      <w:r>
        <w:rPr>
          <w:sz w:val="18"/>
        </w:rPr>
        <w:t>FQL extracts same volume (0.395) but zero coupling (r = 0.057) → language reasoning required, not just governance</w:t>
      </w:r>
    </w:p>
    <w:p>
      <w:pPr>
        <w:pStyle w:val="ListBullet"/>
      </w:pPr>
      <w:r>
        <w:rPr>
          <w:sz w:val="18"/>
        </w:rPr>
        <w:t>Governed BRI 58% vs Ungoverned 9.4% (+517%) → governance eliminates increase-bias without prescribing actions</w:t>
      </w:r>
    </w:p>
    <w:p>
      <w:pPr>
        <w:pStyle w:val="ListBullet"/>
      </w:pPr>
      <w:r>
        <w:rPr>
          <w:sz w:val="18"/>
        </w:rPr>
        <w:t>Strategy diversity: Governed 0.738 vs Ungoverned 0.637 (+16%) → governance expands decision repertoire</w:t>
      </w:r>
    </w:p>
    <w:p>
      <w:r>
        <w:rPr>
          <w:color w:val="999999"/>
          <w:sz w:val="15"/>
        </w:rPr>
        <w:t>Green = governance improvement. Red = regression. Amber = context-dependent. A1 = demand ceiling removed. FQL = fuzzy Q-learning baseline (Hung &amp; Yang, 2021).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