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960" w:line="480" w:lineRule="auto"/>
        <w:jc w:val="center"/>
      </w:pPr>
      <w:r>
        <w:rPr>
          <w:rFonts w:ascii="Times New Roman" w:hAnsi="Times New Roman" w:eastAsia="Times New Roman"/>
          <w:b/>
          <w:i w:val="0"/>
          <w:sz w:val="32"/>
        </w:rPr>
        <w:t>Institutional Constraints Widen Adaptive Behavioural Diversity</w:t>
        <w:br/>
        <w:t>in Language-Based Water Agents</w:t>
      </w:r>
    </w:p>
    <w:p>
      <w:pPr>
        <w:spacing w:after="120" w:before="0" w:line="480" w:lineRule="auto"/>
        <w:jc w:val="center"/>
      </w:pPr>
      <w:r>
        <w:rPr>
          <w:rFonts w:ascii="Times New Roman" w:hAnsi="Times New Roman" w:eastAsia="Times New Roman"/>
          <w:b w:val="0"/>
          <w:i w:val="0"/>
          <w:sz w:val="24"/>
        </w:rPr>
        <w:t>Wen-Yu Lin¹*, Cal Buelo¹</w:t>
      </w:r>
    </w:p>
    <w:p>
      <w:pPr>
        <w:spacing w:after="80" w:before="0" w:line="480" w:lineRule="auto"/>
        <w:jc w:val="center"/>
      </w:pPr>
      <w:r>
        <w:rPr>
          <w:rFonts w:ascii="Times New Roman" w:hAnsi="Times New Roman" w:eastAsia="Times New Roman"/>
          <w:b w:val="0"/>
          <w:i/>
          <w:sz w:val="20"/>
        </w:rPr>
        <w:t>¹ Department of Civil and Environmental Engineering, Lehigh University, Bethlehem, PA, USA</w:t>
      </w:r>
    </w:p>
    <w:p>
      <w:pPr>
        <w:spacing w:after="480" w:before="0" w:line="480" w:lineRule="auto"/>
        <w:jc w:val="center"/>
      </w:pPr>
      <w:r>
        <w:rPr>
          <w:rFonts w:ascii="Times New Roman" w:hAnsi="Times New Roman" w:eastAsia="Times New Roman"/>
          <w:b w:val="0"/>
          <w:i/>
          <w:sz w:val="20"/>
        </w:rPr>
        <w:t>* Corresponding author: wel224@lehigh.edu</w:t>
      </w:r>
    </w:p>
    <w:p>
      <w:pPr>
        <w:spacing w:after="120" w:before="360" w:line="480" w:lineRule="auto"/>
        <w:jc w:val="left"/>
      </w:pPr>
      <w:r>
        <w:rPr>
          <w:rFonts w:ascii="Times New Roman" w:hAnsi="Times New Roman" w:eastAsia="Times New Roman"/>
          <w:b/>
          <w:i w:val="0"/>
          <w:sz w:val="28"/>
        </w:rPr>
        <w:t>Abstract</w:t>
      </w:r>
    </w:p>
    <w:p>
      <w:pPr>
        <w:spacing w:after="0" w:before="0" w:line="480" w:lineRule="auto"/>
        <w:ind w:firstLine="432"/>
        <w:jc w:val="both"/>
      </w:pPr>
      <w:r>
        <w:rPr>
          <w:rFonts w:ascii="Times New Roman" w:hAnsi="Times New Roman" w:eastAsia="Times New Roman"/>
          <w:b w:val="0"/>
          <w:i w:val="0"/>
          <w:sz w:val="22"/>
        </w:rPr>
        <w:t>In a 42-year Colorado River irrigation simulation, language-based agents governed by modular physical and institutional rules extracted more water while maintaining drought responsiveness (demand ratio — water requested relative to historical allocation — 0.394 versus 0.288; demand–reservoir coupling r = 0.547 versus 0.378). Governed agents exhibited adaptive exploitation — higher extraction during abundance, proportionate curtailment during drought — a water-system dynamic whose underlying reasoning is compressed away by parameterized decision functions. Institutional rules created feasibility boundaries within which agents developed differentiated strategies autonomously, producing higher behavioural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for five of six language models tested (three statistically significant), and governance reduced irrational behaviour rates from 0.8–11.6% to at or below 1.7% (significant for four of six models). Institutional boundaries widen adaptive capacity in ways that fixed decision rules cannot represent.</w:t>
      </w:r>
    </w:p>
    <w:p>
      <w:pPr>
        <w:spacing w:after="120" w:before="360" w:line="480" w:lineRule="auto"/>
        <w:jc w:val="left"/>
      </w:pPr>
      <w:r>
        <w:rPr>
          <w:rFonts w:ascii="Times New Roman" w:hAnsi="Times New Roman" w:eastAsia="Times New Roman"/>
          <w:b/>
          <w:i w:val="0"/>
          <w:sz w:val="24"/>
        </w:rPr>
        <w:t>Introduction</w:t>
      </w:r>
    </w:p>
    <w:p>
      <w:pPr>
        <w:spacing w:after="0" w:before="0" w:line="480" w:lineRule="auto"/>
        <w:ind w:firstLine="432"/>
        <w:jc w:val="both"/>
      </w:pPr>
      <w:r>
        <w:rPr>
          <w:rFonts w:ascii="Times New Roman" w:hAnsi="Times New Roman" w:eastAsia="Times New Roman"/>
          <w:b w:val="0"/>
          <w:i w:val="0"/>
          <w:sz w:val="22"/>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spacing w:after="0" w:before="0" w:line="480" w:lineRule="auto"/>
        <w:ind w:firstLine="432"/>
        <w:jc w:val="both"/>
      </w:pPr>
      <w:r>
        <w:rPr>
          <w:rFonts w:ascii="Times New Roman" w:hAnsi="Times New Roman" w:eastAsia="Times New Roman"/>
          <w:b w:val="0"/>
          <w:i w:val="0"/>
          <w:sz w:val="22"/>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spacing w:after="0" w:before="0" w:line="480" w:lineRule="auto"/>
        <w:ind w:firstLine="432"/>
        <w:jc w:val="both"/>
      </w:pPr>
      <w:r>
        <w:rPr>
          <w:rFonts w:ascii="Times New Roman" w:hAnsi="Times New Roman" w:eastAsia="Times New Roman"/>
          <w:b w:val="0"/>
          <w:i w:val="0"/>
          <w:sz w:val="22"/>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(the seniority-based water rights system governing western US rivers) for Colorado River demand management. More recent approaches have introduced adaptive mechanisms — Bayesian belief updating, reinforcement learning policies (Castilla-Rho et al., 2015),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All agents within a given simulation follow the same cognitive model, differing only in parameter values — a structural rigidity that limits the representation of qualitatively different reasoning strategies within a single population.</w:t>
      </w:r>
    </w:p>
    <w:p>
      <w:pPr>
        <w:spacing w:after="0" w:before="0" w:line="480" w:lineRule="auto"/>
        <w:ind w:firstLine="432"/>
        <w:jc w:val="both"/>
      </w:pPr>
      <w:r>
        <w:rPr>
          <w:rFonts w:ascii="Times New Roman" w:hAnsi="Times New Roman" w:eastAsia="Times New Roman"/>
          <w:b w:val="0"/>
          <w:i w:val="0"/>
          <w:sz w:val="22"/>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(Guo et al., 2024). This body of work suggests that natural language may serve as a medium for representing the reasoning processes that numerical formats compress away.</w:t>
      </w:r>
    </w:p>
    <w:p>
      <w:pPr>
        <w:spacing w:after="0" w:before="0" w:line="480" w:lineRule="auto"/>
        <w:ind w:firstLine="432"/>
        <w:jc w:val="both"/>
      </w:pPr>
      <w:r>
        <w:rPr>
          <w:rFonts w:ascii="Times New Roman" w:hAnsi="Times New Roman" w:eastAsia="Times New Roman"/>
          <w:b w:val="0"/>
          <w:i w:val="0"/>
          <w:sz w:val="22"/>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spacing w:after="0" w:before="0" w:line="480" w:lineRule="auto"/>
        <w:ind w:firstLine="432"/>
        <w:jc w:val="both"/>
      </w:pPr>
      <w:r>
        <w:rPr>
          <w:rFonts w:ascii="Times New Roman" w:hAnsi="Times New Roman" w:eastAsia="Times New Roman"/>
          <w:b w:val="0"/>
          <w:i w:val="0"/>
          <w:sz w:val="22"/>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(Fig. 1)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spacing w:after="0" w:before="0" w:line="480" w:lineRule="auto"/>
        <w:ind w:firstLine="432"/>
        <w:jc w:val="both"/>
      </w:pPr>
      <w:r>
        <w:rPr>
          <w:rFonts w:ascii="Times New Roman" w:hAnsi="Times New Roman" w:eastAsia="Times New Roman"/>
          <w:b w:val="0"/>
          <w:i w:val="0"/>
          <w:sz w:val="22"/>
        </w:rPr>
        <w:t>Here we test this hypothesis across two contrasting water domains: irrigation management in the Colorado River Basin (78 agents, 42 years, generating over 9,800 governed decisions across three seeds) and household flood adaptation (100 agents, 10 years, stochastic flood events, 3,000 governed decisions validated against empirical behavioural benchmarks). Governed agents exploit water more aggressively during abundance and curtail during drought — a pattern of adaptive exploitation whose underlying reasoning, visible in natural language, is compressed away by parameterized decision functions. Ungoverned agents collapse into repetitive behavioural patterns. Removing a single institutional rule — the demand ceiling — collapsed this drought coupling while increasing behavioural diversity, establishing that governance channels diversity toward adaptive patterns rather than merely expanding the action space. Governed agents also produced higher behavioural diversity than a hand-coded Protection Motivation Theory baseline (Haer et al., 2017) operating under the same behavioural theory — demonstrating that language-based reasoning generates qualitatively richer decision repertoires than numerical threshold models. This governance effect on behavioural diversity is positive for five of six language models tested, three statistically significant. Governance also nearly eliminates physically irrational behaviour, with significant reductions in four of six models.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pPr>
        <w:spacing w:after="120" w:before="360" w:line="480" w:lineRule="auto"/>
        <w:jc w:val="left"/>
      </w:pPr>
      <w:r>
        <w:rPr>
          <w:rFonts w:ascii="Times New Roman" w:hAnsi="Times New Roman" w:eastAsia="Times New Roman"/>
          <w:b/>
          <w:i w:val="0"/>
          <w:sz w:val="24"/>
        </w:rPr>
        <w:t>Results</w:t>
      </w:r>
    </w:p>
    <w:p>
      <w:pPr>
        <w:spacing w:after="80" w:before="240" w:line="480" w:lineRule="auto"/>
        <w:jc w:val="left"/>
      </w:pPr>
      <w:r>
        <w:rPr>
          <w:rFonts w:ascii="Times New Roman" w:hAnsi="Times New Roman" w:eastAsia="Times New Roman"/>
          <w:b/>
          <w:i/>
          <w:sz w:val="22"/>
        </w:rPr>
        <w:t>Institutional rules enable adaptive exploitation of water resources</w:t>
      </w:r>
    </w:p>
    <w:p>
      <w:pPr>
        <w:spacing w:after="0" w:before="0" w:line="480" w:lineRule="auto"/>
        <w:ind w:firstLine="432"/>
        <w:jc w:val="both"/>
      </w:pPr>
      <w:r>
        <w:rPr>
          <w:rFonts w:ascii="Times New Roman" w:hAnsi="Times New Roman" w:eastAsia="Times New Roman"/>
          <w:b w:val="0"/>
          <w:i w:val="0"/>
          <w:sz w:val="22"/>
        </w:rPr>
        <w:t>Three experimental conditions reveal complementary requirements for adaptive water management (Fig. 2, Table 1; all irrigation results use Gemma-3 4B, 78 agents × 42 years). To assess whether individual water-use decisions respond to basin-wide drought signals — the central coordination challenge in shared water systems — we measure demand–reservoir coupling as the Pearson correlation (r) between annual Lake Mead elevation and aggregate demand ratio; positive r indicates agents reduce demand when the reservoir drops. Governed language agents achieved high extraction (demand ratio 0.394) with strong drought coupling (r = 0.547). A fuzzy Q-learning baseline (FQL; Hung and Yang, 2021) extracted nearly identical volumes (0.395) but with near-zero coupling (r = 0.057), demonstrating that institutional rules alone do not produce drought responsiveness. Ungoverned language agents showed low extraction (0.288) with moderate coupling (0.378), reflecting behavioural collapse rather than adaptive restraint — 77–82% of their decisions were demand increases that converged on a code-level simulation maximum over 42 years. Together, these results indicate that adaptive exploitation — high extraction coupled to drought signals — requires natural-language reasoning operating within institutional boundaries, not either component alone (Fig. 2d; Supplementary Note 11).</w:t>
      </w:r>
    </w:p>
    <w:p>
      <w:pPr>
        <w:spacing w:after="0" w:before="0" w:line="480" w:lineRule="auto"/>
        <w:ind w:firstLine="432"/>
        <w:jc w:val="both"/>
      </w:pPr>
      <w:r>
        <w:rPr>
          <w:rFonts w:ascii="Times New Roman" w:hAnsi="Times New Roman" w:eastAsia="Times New Roman"/>
          <w:b w:val="0"/>
          <w:i w:val="0"/>
          <w:sz w:val="22"/>
        </w:rPr>
        <w:t>Governed agents extracted more water yet responded more sensitively to drought. Lake Mead was consequently lower under governance (42-year mean 1,094 ft versus 1,173 ft) and governed agents triggered shortage conditions more frequently (13.3 versus 5.0 of 42 years). While the higher shortage frequency reflects the costs of aggressive resource exploitation, it demonstrates that governed agents engage productively with system constraints rather than avoiding them.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spacing w:after="0" w:before="0" w:line="480" w:lineRule="auto"/>
        <w:ind w:firstLine="432"/>
        <w:jc w:val="both"/>
      </w:pPr>
      <w:r>
        <w:rPr>
          <w:rFonts w:ascii="Times New Roman" w:hAnsi="Times New Roman" w:eastAsia="Times New Roman"/>
          <w:b w:val="0"/>
          <w:i w:val="0"/>
          <w:sz w:val="22"/>
        </w:rPr>
        <w:t>This pattern — higher extraction during abundance, proportionate response to scarcity signals — is consistent with adaptive exploitation under prior-appropriation-inspired institutional rules — the seniority-based water rights framework governing western US rivers, where senior rights holders maintain full diversions until drought-tier curtailment begins. In real Colorado River management, shortage tiers and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equilibrium demand level upward without degrading drought responsiveness.</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1. Water-system outcomes and behavioural diversity across four experimental conditions (irrigation domain, Gemma-3 4B, 78 agents × 42 years, 3 runs each). "No Ceiling" removes only the demand-ceiling validator while retaining all 11 other governance rules. FQL = fuzzy Q-learning baseline (Hung and Yang, 2021; see Methods and Supplementary Note 11).</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Metric</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No Ceiling</w:t>
            </w:r>
          </w:p>
        </w:tc>
        <w:tc>
          <w:tcPr>
            <w:tcW w:type="dxa" w:w="1872"/>
            <w:shd w:fill="E8E8E8" w:val="clear"/>
          </w:tcPr>
          <w:p>
            <w:pPr>
              <w:spacing w:after="0" w:before="0" w:line="240" w:lineRule="auto"/>
              <w:jc w:val="center"/>
            </w:pPr>
            <w:r/>
            <w:r>
              <w:rPr>
                <w:rFonts w:ascii="Times New Roman" w:hAnsi="Times New Roman" w:eastAsia="Times New Roman"/>
                <w:b/>
                <w:i w:val="0"/>
                <w:sz w:val="18"/>
              </w:rPr>
              <w:t>FQL Baseline</w:t>
            </w:r>
          </w:p>
        </w:tc>
      </w:tr>
      <w:tr>
        <w:tc>
          <w:tcPr>
            <w:tcW w:type="dxa" w:w="1872"/>
          </w:tcPr>
          <w:p>
            <w:pPr>
              <w:spacing w:after="0" w:before="0" w:line="240" w:lineRule="auto"/>
              <w:jc w:val="left"/>
            </w:pPr>
            <w:r/>
            <w:r>
              <w:rPr>
                <w:rFonts w:ascii="Times New Roman" w:hAnsi="Times New Roman" w:eastAsia="Times New Roman"/>
                <w:b w:val="0"/>
                <w:i w:val="0"/>
                <w:sz w:val="18"/>
              </w:rPr>
              <w:t>Mean demand ratio</w:t>
            </w:r>
          </w:p>
        </w:tc>
        <w:tc>
          <w:tcPr>
            <w:tcW w:type="dxa" w:w="1872"/>
          </w:tcPr>
          <w:p>
            <w:pPr>
              <w:spacing w:after="0" w:before="0" w:line="240" w:lineRule="auto"/>
              <w:jc w:val="center"/>
            </w:pPr>
            <w:r/>
            <w:r>
              <w:rPr>
                <w:rFonts w:ascii="Times New Roman" w:hAnsi="Times New Roman" w:eastAsia="Times New Roman"/>
                <w:b w:val="0"/>
                <w:i w:val="0"/>
                <w:sz w:val="18"/>
              </w:rPr>
              <w:t>0.394 ± 0.004</w:t>
            </w:r>
          </w:p>
        </w:tc>
        <w:tc>
          <w:tcPr>
            <w:tcW w:type="dxa" w:w="1872"/>
          </w:tcPr>
          <w:p>
            <w:pPr>
              <w:spacing w:after="0" w:before="0" w:line="240" w:lineRule="auto"/>
              <w:jc w:val="center"/>
            </w:pPr>
            <w:r/>
            <w:r>
              <w:rPr>
                <w:rFonts w:ascii="Times New Roman" w:hAnsi="Times New Roman" w:eastAsia="Times New Roman"/>
                <w:b w:val="0"/>
                <w:i w:val="0"/>
                <w:sz w:val="18"/>
              </w:rPr>
              <w:t>0.288 ± 0.020</w:t>
            </w:r>
          </w:p>
        </w:tc>
        <w:tc>
          <w:tcPr>
            <w:tcW w:type="dxa" w:w="1872"/>
          </w:tcPr>
          <w:p>
            <w:pPr>
              <w:spacing w:after="0" w:before="0" w:line="240" w:lineRule="auto"/>
              <w:jc w:val="center"/>
            </w:pPr>
            <w:r/>
            <w:r>
              <w:rPr>
                <w:rFonts w:ascii="Times New Roman" w:hAnsi="Times New Roman" w:eastAsia="Times New Roman"/>
                <w:b w:val="0"/>
                <w:i w:val="0"/>
                <w:sz w:val="18"/>
              </w:rPr>
              <w:t>0.440 ± 0.012</w:t>
            </w:r>
          </w:p>
        </w:tc>
        <w:tc>
          <w:tcPr>
            <w:tcW w:type="dxa" w:w="1872"/>
          </w:tcPr>
          <w:p>
            <w:pPr>
              <w:spacing w:after="0" w:before="0" w:line="240" w:lineRule="auto"/>
              <w:jc w:val="center"/>
            </w:pPr>
            <w:r/>
            <w:r>
              <w:rPr>
                <w:rFonts w:ascii="Times New Roman" w:hAnsi="Times New Roman" w:eastAsia="Times New Roman"/>
                <w:b w:val="0"/>
                <w:i w:val="0"/>
                <w:sz w:val="18"/>
              </w:rPr>
              <w:t>0.395 ± 0.008</w:t>
            </w:r>
          </w:p>
        </w:tc>
      </w:tr>
      <w:tr>
        <w:tc>
          <w:tcPr>
            <w:tcW w:type="dxa" w:w="1872"/>
          </w:tcPr>
          <w:p>
            <w:pPr>
              <w:spacing w:after="0" w:before="0" w:line="240" w:lineRule="auto"/>
              <w:jc w:val="left"/>
            </w:pPr>
            <w:r/>
            <w:r>
              <w:rPr>
                <w:rFonts w:ascii="Times New Roman" w:hAnsi="Times New Roman" w:eastAsia="Times New Roman"/>
                <w:b w:val="0"/>
                <w:i w:val="0"/>
                <w:sz w:val="18"/>
              </w:rPr>
              <w:t>42-yr mean Mead elevation (ft)</w:t>
            </w:r>
          </w:p>
        </w:tc>
        <w:tc>
          <w:tcPr>
            <w:tcW w:type="dxa" w:w="1872"/>
          </w:tcPr>
          <w:p>
            <w:pPr>
              <w:spacing w:after="0" w:before="0" w:line="240" w:lineRule="auto"/>
              <w:jc w:val="center"/>
            </w:pPr>
            <w:r/>
            <w:r>
              <w:rPr>
                <w:rFonts w:ascii="Times New Roman" w:hAnsi="Times New Roman" w:eastAsia="Times New Roman"/>
                <w:b w:val="0"/>
                <w:i w:val="0"/>
                <w:sz w:val="18"/>
              </w:rPr>
              <w:t>1,094</w:t>
            </w:r>
          </w:p>
        </w:tc>
        <w:tc>
          <w:tcPr>
            <w:tcW w:type="dxa" w:w="1872"/>
          </w:tcPr>
          <w:p>
            <w:pPr>
              <w:spacing w:after="0" w:before="0" w:line="240" w:lineRule="auto"/>
              <w:jc w:val="center"/>
            </w:pPr>
            <w:r/>
            <w:r>
              <w:rPr>
                <w:rFonts w:ascii="Times New Roman" w:hAnsi="Times New Roman" w:eastAsia="Times New Roman"/>
                <w:b w:val="0"/>
                <w:i w:val="0"/>
                <w:sz w:val="18"/>
              </w:rPr>
              <w:t>1,173</w:t>
            </w:r>
          </w:p>
        </w:tc>
        <w:tc>
          <w:tcPr>
            <w:tcW w:type="dxa" w:w="1872"/>
          </w:tcPr>
          <w:p>
            <w:pPr>
              <w:spacing w:after="0" w:before="0" w:line="240" w:lineRule="auto"/>
              <w:jc w:val="center"/>
            </w:pPr>
            <w:r/>
            <w:r>
              <w:rPr>
                <w:rFonts w:ascii="Times New Roman" w:hAnsi="Times New Roman" w:eastAsia="Times New Roman"/>
                <w:b w:val="0"/>
                <w:i w:val="0"/>
                <w:sz w:val="18"/>
              </w:rPr>
              <w:t>1,069</w:t>
            </w:r>
          </w:p>
        </w:tc>
        <w:tc>
          <w:tcPr>
            <w:tcW w:type="dxa" w:w="1872"/>
          </w:tcPr>
          <w:p>
            <w:pPr>
              <w:spacing w:after="0" w:before="0" w:line="240" w:lineRule="auto"/>
              <w:jc w:val="center"/>
            </w:pPr>
            <w:r/>
            <w:r>
              <w:rPr>
                <w:rFonts w:ascii="Times New Roman" w:hAnsi="Times New Roman" w:eastAsia="Times New Roman"/>
                <w:b w:val="0"/>
                <w:i w:val="0"/>
                <w:sz w:val="18"/>
              </w:rPr>
              <w:t>1,065</w:t>
            </w:r>
          </w:p>
        </w:tc>
      </w:tr>
      <w:tr>
        <w:tc>
          <w:tcPr>
            <w:tcW w:type="dxa" w:w="1872"/>
          </w:tcPr>
          <w:p>
            <w:pPr>
              <w:spacing w:after="0" w:before="0" w:line="240" w:lineRule="auto"/>
              <w:jc w:val="left"/>
            </w:pPr>
            <w:r/>
            <w:r>
              <w:rPr>
                <w:rFonts w:ascii="Times New Roman" w:hAnsi="Times New Roman" w:eastAsia="Times New Roman"/>
                <w:b w:val="0"/>
                <w:i w:val="0"/>
                <w:sz w:val="18"/>
              </w:rPr>
              <w:t>Demand-Mead coupling (r)</w:t>
            </w:r>
          </w:p>
        </w:tc>
        <w:tc>
          <w:tcPr>
            <w:tcW w:type="dxa" w:w="1872"/>
          </w:tcPr>
          <w:p>
            <w:pPr>
              <w:spacing w:after="0" w:before="0" w:line="240" w:lineRule="auto"/>
              <w:jc w:val="center"/>
            </w:pPr>
            <w:r/>
            <w:r>
              <w:rPr>
                <w:rFonts w:ascii="Times New Roman" w:hAnsi="Times New Roman" w:eastAsia="Times New Roman"/>
                <w:b w:val="0"/>
                <w:i w:val="0"/>
                <w:sz w:val="18"/>
              </w:rPr>
              <w:t>0.547 ± 0.083</w:t>
            </w:r>
          </w:p>
        </w:tc>
        <w:tc>
          <w:tcPr>
            <w:tcW w:type="dxa" w:w="1872"/>
          </w:tcPr>
          <w:p>
            <w:pPr>
              <w:spacing w:after="0" w:before="0" w:line="240" w:lineRule="auto"/>
              <w:jc w:val="center"/>
            </w:pPr>
            <w:r/>
            <w:r>
              <w:rPr>
                <w:rFonts w:ascii="Times New Roman" w:hAnsi="Times New Roman" w:eastAsia="Times New Roman"/>
                <w:b w:val="0"/>
                <w:i w:val="0"/>
                <w:sz w:val="18"/>
              </w:rPr>
              <w:t>0.378 ± 0.081</w:t>
            </w:r>
          </w:p>
        </w:tc>
        <w:tc>
          <w:tcPr>
            <w:tcW w:type="dxa" w:w="1872"/>
          </w:tcPr>
          <w:p>
            <w:pPr>
              <w:spacing w:after="0" w:before="0" w:line="240" w:lineRule="auto"/>
              <w:jc w:val="center"/>
            </w:pPr>
            <w:r/>
            <w:r>
              <w:rPr>
                <w:rFonts w:ascii="Times New Roman" w:hAnsi="Times New Roman" w:eastAsia="Times New Roman"/>
                <w:b w:val="0"/>
                <w:i w:val="0"/>
                <w:sz w:val="18"/>
              </w:rPr>
              <w:t>0.234 ± 0.127</w:t>
            </w:r>
          </w:p>
        </w:tc>
        <w:tc>
          <w:tcPr>
            <w:tcW w:type="dxa" w:w="1872"/>
          </w:tcPr>
          <w:p>
            <w:pPr>
              <w:spacing w:after="0" w:before="0" w:line="240" w:lineRule="auto"/>
              <w:jc w:val="center"/>
            </w:pPr>
            <w:r/>
            <w:r>
              <w:rPr>
                <w:rFonts w:ascii="Times New Roman" w:hAnsi="Times New Roman" w:eastAsia="Times New Roman"/>
                <w:b w:val="0"/>
                <w:i w:val="0"/>
                <w:sz w:val="18"/>
              </w:rPr>
              <w:t>0.057 ± 0.323</w:t>
            </w:r>
          </w:p>
        </w:tc>
      </w:tr>
      <w:tr>
        <w:tc>
          <w:tcPr>
            <w:tcW w:type="dxa" w:w="1872"/>
          </w:tcPr>
          <w:p>
            <w:pPr>
              <w:spacing w:after="0" w:before="0" w:line="240" w:lineRule="auto"/>
              <w:jc w:val="left"/>
            </w:pPr>
            <w:r/>
            <w:r>
              <w:rPr>
                <w:rFonts w:ascii="Times New Roman" w:hAnsi="Times New Roman" w:eastAsia="Times New Roman"/>
                <w:b w:val="0"/>
                <w:i w:val="0"/>
                <w:sz w:val="18"/>
              </w:rPr>
              <w:t>Shortage years (/42)</w:t>
            </w:r>
          </w:p>
        </w:tc>
        <w:tc>
          <w:tcPr>
            <w:tcW w:type="dxa" w:w="1872"/>
          </w:tcPr>
          <w:p>
            <w:pPr>
              <w:spacing w:after="0" w:before="0" w:line="240" w:lineRule="auto"/>
              <w:jc w:val="center"/>
            </w:pPr>
            <w:r/>
            <w:r>
              <w:rPr>
                <w:rFonts w:ascii="Times New Roman" w:hAnsi="Times New Roman" w:eastAsia="Times New Roman"/>
                <w:b w:val="0"/>
                <w:i w:val="0"/>
                <w:sz w:val="18"/>
              </w:rPr>
              <w:t>13.3 ± 1.5</w:t>
            </w:r>
          </w:p>
        </w:tc>
        <w:tc>
          <w:tcPr>
            <w:tcW w:type="dxa" w:w="1872"/>
          </w:tcPr>
          <w:p>
            <w:pPr>
              <w:spacing w:after="0" w:before="0" w:line="240" w:lineRule="auto"/>
              <w:jc w:val="center"/>
            </w:pPr>
            <w:r/>
            <w:r>
              <w:rPr>
                <w:rFonts w:ascii="Times New Roman" w:hAnsi="Times New Roman" w:eastAsia="Times New Roman"/>
                <w:b w:val="0"/>
                <w:i w:val="0"/>
                <w:sz w:val="18"/>
              </w:rPr>
              <w:t>5.0 ± 1.7</w:t>
            </w:r>
          </w:p>
        </w:tc>
        <w:tc>
          <w:tcPr>
            <w:tcW w:type="dxa" w:w="1872"/>
          </w:tcPr>
          <w:p>
            <w:pPr>
              <w:spacing w:after="0" w:before="0" w:line="240" w:lineRule="auto"/>
              <w:jc w:val="center"/>
            </w:pPr>
            <w:r/>
            <w:r>
              <w:rPr>
                <w:rFonts w:ascii="Times New Roman" w:hAnsi="Times New Roman" w:eastAsia="Times New Roman"/>
                <w:b w:val="0"/>
                <w:i w:val="0"/>
                <w:sz w:val="18"/>
              </w:rPr>
              <w:t>25.3 ± 1.5</w:t>
            </w:r>
          </w:p>
        </w:tc>
        <w:tc>
          <w:tcPr>
            <w:tcW w:type="dxa" w:w="1872"/>
          </w:tcPr>
          <w:p>
            <w:pPr>
              <w:spacing w:after="0" w:before="0" w:line="240" w:lineRule="auto"/>
              <w:jc w:val="center"/>
            </w:pPr>
            <w:r/>
            <w:r>
              <w:rPr>
                <w:rFonts w:ascii="Times New Roman" w:hAnsi="Times New Roman" w:eastAsia="Times New Roman"/>
                <w:b w:val="0"/>
                <w:i w:val="0"/>
                <w:sz w:val="18"/>
              </w:rPr>
              <w:t>24.7 ± 9.1</w:t>
            </w:r>
          </w:p>
        </w:tc>
      </w:tr>
      <w:tr>
        <w:tc>
          <w:tcPr>
            <w:tcW w:type="dxa" w:w="1872"/>
          </w:tcPr>
          <w:p>
            <w:pPr>
              <w:spacing w:after="0" w:before="0" w:line="240" w:lineRule="auto"/>
              <w:jc w:val="left"/>
            </w:pPr>
            <w:r/>
            <w:r>
              <w:rPr>
                <w:rFonts w:ascii="Times New Roman" w:hAnsi="Times New Roman" w:eastAsia="Times New Roman"/>
                <w:b w:val="0"/>
                <w:i w:val="0"/>
                <w:sz w:val="18"/>
              </w:rPr>
              <w:t>Min Mead elevation (ft)</w:t>
            </w:r>
          </w:p>
        </w:tc>
        <w:tc>
          <w:tcPr>
            <w:tcW w:type="dxa" w:w="1872"/>
          </w:tcPr>
          <w:p>
            <w:pPr>
              <w:spacing w:after="0" w:before="0" w:line="240" w:lineRule="auto"/>
              <w:jc w:val="center"/>
            </w:pPr>
            <w:r/>
            <w:r>
              <w:rPr>
                <w:rFonts w:ascii="Times New Roman" w:hAnsi="Times New Roman" w:eastAsia="Times New Roman"/>
                <w:b w:val="0"/>
                <w:i w:val="0"/>
                <w:sz w:val="18"/>
              </w:rPr>
              <w:t>1,002 ± 1</w:t>
            </w:r>
          </w:p>
        </w:tc>
        <w:tc>
          <w:tcPr>
            <w:tcW w:type="dxa" w:w="1872"/>
          </w:tcPr>
          <w:p>
            <w:pPr>
              <w:spacing w:after="0" w:before="0" w:line="240" w:lineRule="auto"/>
              <w:jc w:val="center"/>
            </w:pPr>
            <w:r/>
            <w:r>
              <w:rPr>
                <w:rFonts w:ascii="Times New Roman" w:hAnsi="Times New Roman" w:eastAsia="Times New Roman"/>
                <w:b w:val="0"/>
                <w:i w:val="0"/>
                <w:sz w:val="18"/>
              </w:rPr>
              <w:t>1,001 ± 0.4</w:t>
            </w:r>
          </w:p>
        </w:tc>
        <w:tc>
          <w:tcPr>
            <w:tcW w:type="dxa" w:w="1872"/>
          </w:tcPr>
          <w:p>
            <w:pPr>
              <w:spacing w:after="0" w:before="0" w:line="240" w:lineRule="auto"/>
              <w:jc w:val="center"/>
            </w:pPr>
            <w:r/>
            <w:r>
              <w:rPr>
                <w:rFonts w:ascii="Times New Roman" w:hAnsi="Times New Roman" w:eastAsia="Times New Roman"/>
                <w:b w:val="0"/>
                <w:i w:val="0"/>
                <w:sz w:val="18"/>
              </w:rPr>
              <w:t>984 ± 11</w:t>
            </w:r>
          </w:p>
        </w:tc>
        <w:tc>
          <w:tcPr>
            <w:tcW w:type="dxa" w:w="1872"/>
          </w:tcPr>
          <w:p>
            <w:pPr>
              <w:spacing w:after="0" w:before="0" w:line="240" w:lineRule="auto"/>
              <w:jc w:val="center"/>
            </w:pPr>
            <w:r/>
            <w:r>
              <w:rPr>
                <w:rFonts w:ascii="Times New Roman" w:hAnsi="Times New Roman" w:eastAsia="Times New Roman"/>
                <w:b w:val="0"/>
                <w:i w:val="0"/>
                <w:sz w:val="18"/>
              </w:rPr>
              <w:t>1,020 ± 4</w:t>
            </w:r>
          </w:p>
        </w:tc>
      </w:tr>
      <w:tr>
        <w:tc>
          <w:tcPr>
            <w:tcW w:type="dxa" w:w="1872"/>
          </w:tcPr>
          <w:p>
            <w:pPr>
              <w:spacing w:after="0" w:before="0" w:line="240" w:lineRule="auto"/>
              <w:jc w:val="left"/>
            </w:pPr>
            <w:r/>
            <w:r>
              <w:rPr>
                <w:rFonts w:ascii="Times New Roman" w:hAnsi="Times New Roman" w:eastAsia="Times New Roman"/>
                <w:b w:val="0"/>
                <w:i w:val="0"/>
                <w:sz w:val="18"/>
              </w:rPr>
              <w:t>Behavioural diversity</w:t>
            </w:r>
          </w:p>
        </w:tc>
        <w:tc>
          <w:tcPr>
            <w:tcW w:type="dxa" w:w="1872"/>
          </w:tcPr>
          <w:p>
            <w:pPr>
              <w:spacing w:after="0" w:before="0" w:line="240" w:lineRule="auto"/>
              <w:jc w:val="center"/>
            </w:pPr>
            <w:r/>
            <w:r>
              <w:rPr>
                <w:rFonts w:ascii="Times New Roman" w:hAnsi="Times New Roman" w:eastAsia="Times New Roman"/>
                <w:b w:val="0"/>
                <w:i w:val="0"/>
                <w:sz w:val="18"/>
              </w:rPr>
              <w:t>0.738 ± 0.017</w:t>
            </w:r>
          </w:p>
        </w:tc>
        <w:tc>
          <w:tcPr>
            <w:tcW w:type="dxa" w:w="1872"/>
          </w:tcPr>
          <w:p>
            <w:pPr>
              <w:spacing w:after="0" w:before="0" w:line="240" w:lineRule="auto"/>
              <w:jc w:val="center"/>
            </w:pPr>
            <w:r/>
            <w:r>
              <w:rPr>
                <w:rFonts w:ascii="Times New Roman" w:hAnsi="Times New Roman" w:eastAsia="Times New Roman"/>
                <w:b w:val="0"/>
                <w:i w:val="0"/>
                <w:sz w:val="18"/>
              </w:rPr>
              <w:t>0.637 ± 0.017</w:t>
            </w:r>
          </w:p>
        </w:tc>
        <w:tc>
          <w:tcPr>
            <w:tcW w:type="dxa" w:w="1872"/>
          </w:tcPr>
          <w:p>
            <w:pPr>
              <w:spacing w:after="0" w:before="0" w:line="240" w:lineRule="auto"/>
              <w:jc w:val="center"/>
            </w:pPr>
            <w:r/>
            <w:r>
              <w:rPr>
                <w:rFonts w:ascii="Times New Roman" w:hAnsi="Times New Roman" w:eastAsia="Times New Roman"/>
                <w:b w:val="0"/>
                <w:i w:val="0"/>
                <w:sz w:val="18"/>
              </w:rPr>
              <w:t>0.793 ± 0.002</w:t>
            </w:r>
          </w:p>
        </w:tc>
        <w:tc>
          <w:tcPr>
            <w:tcW w:type="dxa" w:w="1872"/>
          </w:tcPr>
          <w:p>
            <w:pPr>
              <w:spacing w:after="0" w:before="0" w:line="240" w:lineRule="auto"/>
              <w:jc w:val="center"/>
            </w:pPr>
            <w:r/>
            <w:r>
              <w:rPr>
                <w:rFonts w:ascii="Times New Roman" w:hAnsi="Times New Roman" w:eastAsia="Times New Roman"/>
                <w:b w:val="0"/>
                <w:i w:val="0"/>
                <w:sz w:val="18"/>
              </w:rPr>
              <w:t>—</w:t>
            </w:r>
          </w:p>
        </w:tc>
      </w:tr>
      <w:tr>
        <w:tc>
          <w:tcPr>
            <w:tcW w:type="dxa" w:w="1872"/>
          </w:tcPr>
          <w:p>
            <w:pPr>
              <w:spacing w:after="0" w:before="0" w:line="240" w:lineRule="auto"/>
              <w:jc w:val="left"/>
            </w:pPr>
            <w:r/>
            <w:r>
              <w:rPr>
                <w:rFonts w:ascii="Times New Roman" w:hAnsi="Times New Roman" w:eastAsia="Times New Roman"/>
                <w:b w:val="0"/>
                <w:i w:val="0"/>
                <w:sz w:val="18"/>
              </w:rPr>
              <w:t>Behavioural Rationality (BRI, %)</w:t>
            </w:r>
          </w:p>
        </w:tc>
        <w:tc>
          <w:tcPr>
            <w:tcW w:type="dxa" w:w="1872"/>
          </w:tcPr>
          <w:p>
            <w:pPr>
              <w:spacing w:after="0" w:before="0" w:line="240" w:lineRule="auto"/>
              <w:jc w:val="center"/>
            </w:pPr>
            <w:r/>
            <w:r>
              <w:rPr>
                <w:rFonts w:ascii="Times New Roman" w:hAnsi="Times New Roman" w:eastAsia="Times New Roman"/>
                <w:b w:val="0"/>
                <w:i w:val="0"/>
                <w:sz w:val="18"/>
              </w:rPr>
              <w:t>58.0</w:t>
            </w:r>
          </w:p>
        </w:tc>
        <w:tc>
          <w:tcPr>
            <w:tcW w:type="dxa" w:w="1872"/>
          </w:tcPr>
          <w:p>
            <w:pPr>
              <w:spacing w:after="0" w:before="0" w:line="240" w:lineRule="auto"/>
              <w:jc w:val="center"/>
            </w:pPr>
            <w:r/>
            <w:r>
              <w:rPr>
                <w:rFonts w:ascii="Times New Roman" w:hAnsi="Times New Roman" w:eastAsia="Times New Roman"/>
                <w:b w:val="0"/>
                <w:i w:val="0"/>
                <w:sz w:val="18"/>
              </w:rPr>
              <w:t>9.4</w:t>
            </w:r>
          </w:p>
        </w:tc>
        <w:tc>
          <w:tcPr>
            <w:tcW w:type="dxa" w:w="1872"/>
          </w:tcPr>
          <w:p>
            <w:pPr>
              <w:spacing w:after="0" w:before="0" w:line="240" w:lineRule="auto"/>
              <w:jc w:val="center"/>
            </w:pPr>
            <w:r/>
            <w:r>
              <w:rPr>
                <w:rFonts w:ascii="Times New Roman" w:hAnsi="Times New Roman" w:eastAsia="Times New Roman"/>
                <w:b w:val="0"/>
                <w:i w:val="0"/>
                <w:sz w:val="18"/>
              </w:rPr>
              <w:t>—</w:t>
            </w:r>
          </w:p>
        </w:tc>
        <w:tc>
          <w:tcPr>
            <w:tcW w:type="dxa" w:w="1872"/>
          </w:tcPr>
          <w:p>
            <w:pPr>
              <w:spacing w:after="0" w:before="0" w:line="240" w:lineRule="auto"/>
              <w:jc w:val="center"/>
            </w:pPr>
            <w:r/>
            <w:r>
              <w:rPr>
                <w:rFonts w:ascii="Times New Roman" w:hAnsi="Times New Roman" w:eastAsia="Times New Roman"/>
                <w:b w:val="0"/>
                <w:i w:val="0"/>
                <w:sz w:val="18"/>
              </w:rPr>
              <w:t>—</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Behavioural diversity = normalized Shannon entropy H/log₂(k) over k action types (0 = all agents choose the same action; 1 = actions uniformly distributed; see Methods). BRI = Behavioural Rationality Index, the fraction of high-scarcity decisions where agents did not increase demand (null expectation under uniform random = 60%); BRI ≈ 1 − IBR but uses a domain-specific high-scarcity subset (for the analogous flood-domain metric, see IBR in Table 2; see Methods). "No ceiling" removes only the demand-ceiling stabilizer (see next section). FQL uses the same reservoir model and governance validators but replaces natural-language reasoning with a Q-learning decision kernel (2-action: increase/decrease); behavioural diversity and BRI are not computed because 84–89% of FQL actions resulted from validator blocking rather than agent choice (Supplementary Note 11). See Supplementary Table 6 for additional water-system metrics.</w:t>
      </w:r>
    </w:p>
    <w:p>
      <w:pPr>
        <w:spacing w:after="80" w:before="240" w:line="480" w:lineRule="auto"/>
        <w:jc w:val="left"/>
      </w:pPr>
      <w:r>
        <w:rPr>
          <w:rFonts w:ascii="Times New Roman" w:hAnsi="Times New Roman" w:eastAsia="Times New Roman"/>
          <w:b/>
          <w:i/>
          <w:sz w:val="22"/>
        </w:rPr>
        <w:t>A single institutional rule couples individual decisions to basin-wide drought</w:t>
      </w:r>
    </w:p>
    <w:p>
      <w:pPr>
        <w:spacing w:after="0" w:before="0" w:line="480" w:lineRule="auto"/>
        <w:ind w:firstLine="432"/>
        <w:jc w:val="both"/>
      </w:pPr>
      <w:r>
        <w:rPr>
          <w:rFonts w:ascii="Times New Roman" w:hAnsi="Times New Roman" w:eastAsia="Times New Roman"/>
          <w:b w:val="0"/>
          <w:i w:val="0"/>
          <w:sz w:val="22"/>
        </w:rPr>
        <w:t>To identify which institutional rules create the coupling between individual decisions and reservoir state, we removed a single validator — the demand ceiling stabilizer, which blocks demand-increase proposals when aggregate basin demand exceeds 6.0 million acre-feet (MAF) — while retaining all eleven other validators (the "no-ceiling" condition; see Methods).</w:t>
      </w:r>
    </w:p>
    <w:p>
      <w:pPr>
        <w:spacing w:after="0" w:before="0" w:line="480" w:lineRule="auto"/>
        <w:ind w:firstLine="432"/>
        <w:jc w:val="both"/>
      </w:pPr>
      <w:r>
        <w:rPr>
          <w:rFonts w:ascii="Times New Roman" w:hAnsi="Times New Roman" w:eastAsia="Times New Roman"/>
          <w:b w:val="0"/>
          <w:i w:val="0"/>
          <w:sz w:val="22"/>
        </w:rPr>
        <w:t xml:space="preserve">Removing this one rule of twelve collapsed demand–Mead coupling from r = 0.547 to 0.234, nearly doubled shortage years from 13.3 to 25.3, and dropped minimum Mead elevation to 984 ft below the Tier 3 shortage threshold (Table 1, "No Ceiling" column). Yet removing the ceiling </w:t>
      </w:r>
      <w:r>
        <w:rPr>
          <w:rFonts w:ascii="Times New Roman" w:hAnsi="Times New Roman" w:eastAsia="Times New Roman"/>
          <w:b w:val="0"/>
          <w:i/>
          <w:sz w:val="22"/>
        </w:rPr>
        <w:t>increased</w:t>
      </w:r>
      <w:r>
        <w:rPr>
          <w:rFonts w:ascii="Times New Roman" w:hAnsi="Times New Roman" w:eastAsia="Times New Roman"/>
          <w:b w:val="0"/>
          <w:i w:val="0"/>
          <w:sz w:val="22"/>
        </w:rPr>
        <w:t xml:space="preserve"> behavioural diversity from 0.738 to 0.793. Agents diversified further — but into extraction patterns decoupled from drought signals, producing higher demand ratios (0.440 versus 0.394) with weaker environmental responsiveness.</w:t>
      </w:r>
    </w:p>
    <w:p>
      <w:pPr>
        <w:spacing w:after="0" w:before="0" w:line="480" w:lineRule="auto"/>
        <w:ind w:firstLine="432"/>
        <w:jc w:val="both"/>
      </w:pPr>
      <w:r>
        <w:rPr>
          <w:rFonts w:ascii="Times New Roman" w:hAnsi="Times New Roman" w:eastAsia="Times New Roman"/>
          <w:b w:val="0"/>
          <w:i w:val="0"/>
          <w:sz w:val="22"/>
        </w:rPr>
        <w:t xml:space="preserve">This establishes a distinction central to interpreting the governance effect: between </w:t>
      </w:r>
      <w:r>
        <w:rPr>
          <w:rFonts w:ascii="Times New Roman" w:hAnsi="Times New Roman" w:eastAsia="Times New Roman"/>
          <w:b w:val="0"/>
          <w:i/>
          <w:sz w:val="22"/>
        </w:rPr>
        <w:t>diversity</w:t>
      </w:r>
      <w:r>
        <w:rPr>
          <w:rFonts w:ascii="Times New Roman" w:hAnsi="Times New Roman" w:eastAsia="Times New Roman"/>
          <w:b w:val="0"/>
          <w:i w:val="0"/>
          <w:sz w:val="22"/>
        </w:rPr>
        <w:t xml:space="preserve"> (a wider action distribution) and </w:t>
      </w:r>
      <w:r>
        <w:rPr>
          <w:rFonts w:ascii="Times New Roman" w:hAnsi="Times New Roman" w:eastAsia="Times New Roman"/>
          <w:b w:val="0"/>
          <w:i/>
          <w:sz w:val="22"/>
        </w:rPr>
        <w:t>adaptive diversity</w:t>
      </w:r>
      <w:r>
        <w:rPr>
          <w:rFonts w:ascii="Times New Roman" w:hAnsi="Times New Roman" w:eastAsia="Times New Roman"/>
          <w:b w:val="0"/>
          <w:i w:val="0"/>
          <w:sz w:val="22"/>
        </w:rPr>
        <w:t xml:space="preserve">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spacing w:after="0" w:before="0" w:line="480" w:lineRule="auto"/>
        <w:ind w:firstLine="432"/>
        <w:jc w:val="both"/>
      </w:pPr>
      <w:r>
        <w:rPr>
          <w:rFonts w:ascii="Times New Roman" w:hAnsi="Times New Roman" w:eastAsia="Times New Roman"/>
          <w:b w:val="0"/>
          <w:i w:val="0"/>
          <w:sz w:val="22"/>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spacing w:after="80" w:before="240" w:line="480" w:lineRule="auto"/>
        <w:jc w:val="left"/>
      </w:pPr>
      <w:r>
        <w:rPr>
          <w:rFonts w:ascii="Times New Roman" w:hAnsi="Times New Roman" w:eastAsia="Times New Roman"/>
          <w:b/>
          <w:i/>
          <w:sz w:val="22"/>
        </w:rPr>
        <w:t>Governance generates behavioural diversity beyond what hand-coded models can represent</w:t>
      </w:r>
    </w:p>
    <w:p>
      <w:pPr>
        <w:spacing w:after="0" w:before="0" w:line="480" w:lineRule="auto"/>
        <w:ind w:firstLine="432"/>
        <w:jc w:val="both"/>
      </w:pPr>
      <w:r>
        <w:rPr>
          <w:rFonts w:ascii="Times New Roman" w:hAnsi="Times New Roman" w:eastAsia="Times New Roman"/>
          <w:b w:val="0"/>
          <w:i w:val="0"/>
          <w:sz w:val="22"/>
        </w:rPr>
        <w:t>Governed agents exhibited higher behavioural diversity than both ungoverned agents and a hand-coded Protection Motivation Theory baseline across both water domains. In irrigation, governed behavioural diversity (0.738 ± 0.017) exceeded ungoverned (0.637 ± 0.017) with zero distributional overlap across three seeds (Table 1). In flood adaptation, the ordering was consistent: governed language agents (0.636 ± 0.044) exceeded rule-based PMT agents (0.486 ± 0.011), which exceeded ungoverned language agents (0.307 ± 0.059; Table 2). Ungoverned agents collapsed into behavioural monoculture: 77–82% demand increases in irrigation, 85.9% inaction in flood.</w:t>
      </w:r>
    </w:p>
    <w:p>
      <w:pPr>
        <w:spacing w:after="0" w:before="0" w:line="480" w:lineRule="auto"/>
        <w:ind w:firstLine="432"/>
        <w:jc w:val="both"/>
      </w:pPr>
      <w:r>
        <w:rPr>
          <w:rFonts w:ascii="Times New Roman" w:hAnsi="Times New Roman" w:eastAsia="Times New Roman"/>
          <w:b w:val="0"/>
          <w:i w:val="0"/>
          <w:sz w:val="22"/>
        </w:rPr>
        <w:t>This diversity is generated by agents reasoning within governance, not filtered into existence by validators. Proposals submitted before any governance feedback already showed higher diversity (first-attempt behavioural diversity 0.761 governed versus 0.640 ungoverned; irrigation domain), confirming that the governance context shapes the reasoning process, rather than diversity being created post hoc by the rejection-retry mechanism (see Supplementary Information for retry statistics).</w:t>
      </w:r>
    </w:p>
    <w:p>
      <w:pPr>
        <w:spacing w:after="0" w:before="0" w:line="480" w:lineRule="auto"/>
        <w:ind w:firstLine="432"/>
        <w:jc w:val="both"/>
      </w:pPr>
      <w:r>
        <w:rPr>
          <w:rFonts w:ascii="Times New Roman" w:hAnsi="Times New Roman" w:eastAsia="Times New Roman"/>
          <w:b w:val="0"/>
          <w:i w:val="0"/>
          <w:sz w:val="22"/>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Under identical physical conditions (same year, same shortage tier, same reservoir elevation), four governed agents selected four different actions through distinct cognitive frames: opportunity-seeking under self-assessed confidence, reflective learning from consolidated memory of past failure, tradition-anchored inertia despite the agent's own memory advising otherwise, and social responsibility referencing neighbour dependence (Supplementary Tables 3–5 present full reasoning traces and a taxonomy of 10 distinct cognitive frames). This is not a marginal improvement in the same representational format; it is a shift from parameterized homogeneity to reasoning-generated heterogeneity.</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2. Behavioural diversity: governed LLM vs rule-based PMT vs ungoverned LLM (flood domain, Gemma-3 4B, 100 agents × 10 years, 3 runs each).</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8E8E8" w:val="clear"/>
          </w:tcPr>
          <w:p>
            <w:pPr>
              <w:spacing w:after="0" w:before="0" w:line="240" w:lineRule="auto"/>
              <w:jc w:val="center"/>
            </w:pPr>
            <w:r/>
            <w:r>
              <w:rPr>
                <w:rFonts w:ascii="Times New Roman" w:hAnsi="Times New Roman" w:eastAsia="Times New Roman"/>
                <w:b/>
                <w:i w:val="0"/>
                <w:sz w:val="18"/>
              </w:rPr>
              <w:t>Condition</w:t>
            </w:r>
          </w:p>
        </w:tc>
        <w:tc>
          <w:tcPr>
            <w:tcW w:type="dxa" w:w="1337"/>
            <w:shd w:fill="E8E8E8" w:val="clear"/>
          </w:tcPr>
          <w:p>
            <w:pPr>
              <w:spacing w:after="0" w:before="0" w:line="240" w:lineRule="auto"/>
              <w:jc w:val="center"/>
            </w:pPr>
            <w:r/>
            <w:r>
              <w:rPr>
                <w:rFonts w:ascii="Times New Roman" w:hAnsi="Times New Roman" w:eastAsia="Times New Roman"/>
                <w:b/>
                <w:i w:val="0"/>
                <w:sz w:val="18"/>
              </w:rPr>
              <w:t>Behavioural diversity</w:t>
            </w:r>
          </w:p>
        </w:tc>
        <w:tc>
          <w:tcPr>
            <w:tcW w:type="dxa" w:w="1337"/>
            <w:shd w:fill="E8E8E8" w:val="clear"/>
          </w:tcPr>
          <w:p>
            <w:pPr>
              <w:spacing w:after="0" w:before="0" w:line="240" w:lineRule="auto"/>
              <w:jc w:val="center"/>
            </w:pPr>
            <w:r/>
            <w:r>
              <w:rPr>
                <w:rFonts w:ascii="Times New Roman" w:hAnsi="Times New Roman" w:eastAsia="Times New Roman"/>
                <w:b/>
                <w:i w:val="0"/>
                <w:sz w:val="18"/>
              </w:rPr>
              <w:t>IBR (%)</w:t>
            </w:r>
          </w:p>
        </w:tc>
        <w:tc>
          <w:tcPr>
            <w:tcW w:type="dxa" w:w="1337"/>
            <w:shd w:fill="E8E8E8" w:val="clear"/>
          </w:tcPr>
          <w:p>
            <w:pPr>
              <w:spacing w:after="0" w:before="0" w:line="240" w:lineRule="auto"/>
              <w:jc w:val="center"/>
            </w:pPr>
            <w:r/>
            <w:r>
              <w:rPr>
                <w:rFonts w:ascii="Times New Roman" w:hAnsi="Times New Roman" w:eastAsia="Times New Roman"/>
                <w:b/>
                <w:i w:val="0"/>
                <w:sz w:val="18"/>
              </w:rPr>
              <w:t>do_nothing (%)</w:t>
            </w:r>
          </w:p>
        </w:tc>
        <w:tc>
          <w:tcPr>
            <w:tcW w:type="dxa" w:w="1337"/>
            <w:shd w:fill="E8E8E8" w:val="clear"/>
          </w:tcPr>
          <w:p>
            <w:pPr>
              <w:spacing w:after="0" w:before="0" w:line="240" w:lineRule="auto"/>
              <w:jc w:val="center"/>
            </w:pPr>
            <w:r/>
            <w:r>
              <w:rPr>
                <w:rFonts w:ascii="Times New Roman" w:hAnsi="Times New Roman" w:eastAsia="Times New Roman"/>
                <w:b/>
                <w:i w:val="0"/>
                <w:sz w:val="18"/>
              </w:rPr>
              <w:t>insurance (%)</w:t>
            </w:r>
          </w:p>
        </w:tc>
        <w:tc>
          <w:tcPr>
            <w:tcW w:type="dxa" w:w="1337"/>
            <w:shd w:fill="E8E8E8" w:val="clear"/>
          </w:tcPr>
          <w:p>
            <w:pPr>
              <w:spacing w:after="0" w:before="0" w:line="240" w:lineRule="auto"/>
              <w:jc w:val="center"/>
            </w:pPr>
            <w:r/>
            <w:r>
              <w:rPr>
                <w:rFonts w:ascii="Times New Roman" w:hAnsi="Times New Roman" w:eastAsia="Times New Roman"/>
                <w:b/>
                <w:i w:val="0"/>
                <w:sz w:val="18"/>
              </w:rPr>
              <w:t>elevation (%)</w:t>
            </w:r>
          </w:p>
        </w:tc>
        <w:tc>
          <w:tcPr>
            <w:tcW w:type="dxa" w:w="1337"/>
            <w:shd w:fill="E8E8E8" w:val="clear"/>
          </w:tcPr>
          <w:p>
            <w:pPr>
              <w:spacing w:after="0" w:before="0" w:line="240" w:lineRule="auto"/>
              <w:jc w:val="center"/>
            </w:pPr>
            <w:r/>
            <w:r>
              <w:rPr>
                <w:rFonts w:ascii="Times New Roman" w:hAnsi="Times New Roman" w:eastAsia="Times New Roman"/>
                <w:b/>
                <w:i w:val="0"/>
                <w:sz w:val="18"/>
              </w:rPr>
              <w:t>relocation (%)</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0.636 ± 0.044</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0.86</w:t>
            </w:r>
          </w:p>
        </w:tc>
        <w:tc>
          <w:tcPr>
            <w:tcW w:type="dxa" w:w="1337"/>
          </w:tcPr>
          <w:p>
            <w:pPr>
              <w:spacing w:after="0" w:before="0" w:line="240" w:lineRule="auto"/>
              <w:jc w:val="center"/>
            </w:pPr>
            <w:r/>
            <w:r>
              <w:rPr>
                <w:rFonts w:ascii="Times New Roman" w:hAnsi="Times New Roman" w:eastAsia="Times New Roman"/>
                <w:b w:val="0"/>
                <w:i w:val="0"/>
                <w:sz w:val="18"/>
              </w:rPr>
              <w:t>35.6</w:t>
            </w:r>
          </w:p>
        </w:tc>
        <w:tc>
          <w:tcPr>
            <w:tcW w:type="dxa" w:w="1337"/>
          </w:tcPr>
          <w:p>
            <w:pPr>
              <w:spacing w:after="0" w:before="0" w:line="240" w:lineRule="auto"/>
              <w:jc w:val="center"/>
            </w:pPr>
            <w:r/>
            <w:r>
              <w:rPr>
                <w:rFonts w:ascii="Times New Roman" w:hAnsi="Times New Roman" w:eastAsia="Times New Roman"/>
                <w:b w:val="0"/>
                <w:i w:val="0"/>
                <w:sz w:val="18"/>
              </w:rPr>
              <w:t>50.7</w:t>
            </w:r>
          </w:p>
        </w:tc>
        <w:tc>
          <w:tcPr>
            <w:tcW w:type="dxa" w:w="1337"/>
          </w:tcPr>
          <w:p>
            <w:pPr>
              <w:spacing w:after="0" w:before="0" w:line="240" w:lineRule="auto"/>
              <w:jc w:val="center"/>
            </w:pPr>
            <w:r/>
            <w:r>
              <w:rPr>
                <w:rFonts w:ascii="Times New Roman" w:hAnsi="Times New Roman" w:eastAsia="Times New Roman"/>
                <w:b w:val="0"/>
                <w:i w:val="0"/>
                <w:sz w:val="18"/>
              </w:rPr>
              <w:t>10.6</w:t>
            </w:r>
          </w:p>
        </w:tc>
        <w:tc>
          <w:tcPr>
            <w:tcW w:type="dxa" w:w="1337"/>
          </w:tcPr>
          <w:p>
            <w:pPr>
              <w:spacing w:after="0" w:before="0" w:line="240" w:lineRule="auto"/>
              <w:jc w:val="center"/>
            </w:pPr>
            <w:r/>
            <w:r>
              <w:rPr>
                <w:rFonts w:ascii="Times New Roman" w:hAnsi="Times New Roman" w:eastAsia="Times New Roman"/>
                <w:b w:val="0"/>
                <w:i w:val="0"/>
                <w:sz w:val="18"/>
              </w:rPr>
              <w:t>3.0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Rule-based PMT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0.486 ± 0.011</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0.0</w:t>
            </w:r>
          </w:p>
        </w:tc>
        <w:tc>
          <w:tcPr>
            <w:tcW w:type="dxa" w:w="1337"/>
          </w:tcPr>
          <w:p>
            <w:pPr>
              <w:spacing w:after="0" w:before="0" w:line="240" w:lineRule="auto"/>
              <w:jc w:val="center"/>
            </w:pPr>
            <w:r/>
            <w:r>
              <w:rPr>
                <w:rFonts w:ascii="Times New Roman" w:hAnsi="Times New Roman" w:eastAsia="Times New Roman"/>
                <w:b w:val="0"/>
                <w:i w:val="0"/>
                <w:sz w:val="18"/>
              </w:rPr>
              <w:t>69.7</w:t>
            </w:r>
          </w:p>
        </w:tc>
        <w:tc>
          <w:tcPr>
            <w:tcW w:type="dxa" w:w="1337"/>
          </w:tcPr>
          <w:p>
            <w:pPr>
              <w:spacing w:after="0" w:before="0" w:line="240" w:lineRule="auto"/>
              <w:jc w:val="center"/>
            </w:pPr>
            <w:r/>
            <w:r>
              <w:rPr>
                <w:rFonts w:ascii="Times New Roman" w:hAnsi="Times New Roman" w:eastAsia="Times New Roman"/>
                <w:b w:val="0"/>
                <w:i w:val="0"/>
                <w:sz w:val="18"/>
              </w:rPr>
              <w:t>21.3</w:t>
            </w:r>
          </w:p>
        </w:tc>
        <w:tc>
          <w:tcPr>
            <w:tcW w:type="dxa" w:w="1337"/>
          </w:tcPr>
          <w:p>
            <w:pPr>
              <w:spacing w:after="0" w:before="0" w:line="240" w:lineRule="auto"/>
              <w:jc w:val="center"/>
            </w:pPr>
            <w:r/>
            <w:r>
              <w:rPr>
                <w:rFonts w:ascii="Times New Roman" w:hAnsi="Times New Roman" w:eastAsia="Times New Roman"/>
                <w:b w:val="0"/>
                <w:i w:val="0"/>
                <w:sz w:val="18"/>
              </w:rPr>
              <w:t>8.7</w:t>
            </w:r>
          </w:p>
        </w:tc>
        <w:tc>
          <w:tcPr>
            <w:tcW w:type="dxa" w:w="1337"/>
          </w:tcPr>
          <w:p>
            <w:pPr>
              <w:spacing w:after="0" w:before="0" w:line="240" w:lineRule="auto"/>
              <w:jc w:val="center"/>
            </w:pPr>
            <w:r/>
            <w:r>
              <w:rPr>
                <w:rFonts w:ascii="Times New Roman" w:hAnsi="Times New Roman" w:eastAsia="Times New Roman"/>
                <w:b w:val="0"/>
                <w:i w:val="0"/>
                <w:sz w:val="18"/>
              </w:rPr>
              <w:t>0.0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Ungoverned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0.307 ± 0.059</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1.15</w:t>
            </w:r>
          </w:p>
        </w:tc>
        <w:tc>
          <w:tcPr>
            <w:tcW w:type="dxa" w:w="1337"/>
          </w:tcPr>
          <w:p>
            <w:pPr>
              <w:spacing w:after="0" w:before="0" w:line="240" w:lineRule="auto"/>
              <w:jc w:val="center"/>
            </w:pPr>
            <w:r/>
            <w:r>
              <w:rPr>
                <w:rFonts w:ascii="Times New Roman" w:hAnsi="Times New Roman" w:eastAsia="Times New Roman"/>
                <w:b w:val="0"/>
                <w:i w:val="0"/>
                <w:sz w:val="18"/>
              </w:rPr>
              <w:t>85.9</w:t>
            </w:r>
          </w:p>
        </w:tc>
        <w:tc>
          <w:tcPr>
            <w:tcW w:type="dxa" w:w="1337"/>
          </w:tcPr>
          <w:p>
            <w:pPr>
              <w:spacing w:after="0" w:before="0" w:line="240" w:lineRule="auto"/>
              <w:jc w:val="center"/>
            </w:pPr>
            <w:r/>
            <w:r>
              <w:rPr>
                <w:rFonts w:ascii="Times New Roman" w:hAnsi="Times New Roman" w:eastAsia="Times New Roman"/>
                <w:b w:val="0"/>
                <w:i w:val="0"/>
                <w:sz w:val="18"/>
              </w:rPr>
              <w:t>11.7</w:t>
            </w:r>
          </w:p>
        </w:tc>
        <w:tc>
          <w:tcPr>
            <w:tcW w:type="dxa" w:w="1337"/>
          </w:tcPr>
          <w:p>
            <w:pPr>
              <w:spacing w:after="0" w:before="0" w:line="240" w:lineRule="auto"/>
              <w:jc w:val="center"/>
            </w:pPr>
            <w:r/>
            <w:r>
              <w:rPr>
                <w:rFonts w:ascii="Times New Roman" w:hAnsi="Times New Roman" w:eastAsia="Times New Roman"/>
                <w:b w:val="0"/>
                <w:i w:val="0"/>
                <w:sz w:val="18"/>
              </w:rPr>
              <w:t>2.3</w:t>
            </w:r>
          </w:p>
        </w:tc>
        <w:tc>
          <w:tcPr>
            <w:tcW w:type="dxa" w:w="1337"/>
          </w:tcPr>
          <w:p>
            <w:pPr>
              <w:spacing w:after="0" w:before="0" w:line="240" w:lineRule="auto"/>
              <w:jc w:val="center"/>
            </w:pPr>
            <w:r/>
            <w:r>
              <w:rPr>
                <w:rFonts w:ascii="Times New Roman" w:hAnsi="Times New Roman" w:eastAsia="Times New Roman"/>
                <w:b w:val="0"/>
                <w:i w:val="0"/>
                <w:sz w:val="18"/>
              </w:rPr>
              <w:t>0.0</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Behavioural diversity = mean of per-year normalized Shannon entropy H/log₂(k) over active years (0 = monoculture; 1 = uniform); mean ± s.d. over 3 runs. Action percentages for rule-based agents are computed from yearly state transitions (new actions only); combined insurance-and-elevation events (&lt;1%) are counted as elevation. IBR = Irrational Behavior Rate: fraction of decisions classified as physically impossible or inconsistent with the agent's own threat perception via posthoc PMT rules (for the analogous irrigation-domain metric, see BRI in Table 1; BRI ≈ 1 − IBR; see Methods). For Gemma-3 4B shown here, governance does not significantly reduce IBR (0.86% vs 1.15%); large IBR reductions occur for other models (Supplementary Table 1). Rule-based agent uses deterministic PMT threshold logic with parameterized agent heterogeneity. Post-relocation agent-years excluded.</w:t>
      </w:r>
    </w:p>
    <w:p>
      <w:pPr>
        <w:spacing w:after="80" w:before="240" w:line="480" w:lineRule="auto"/>
        <w:jc w:val="left"/>
      </w:pPr>
      <w:r>
        <w:rPr>
          <w:rFonts w:ascii="Times New Roman" w:hAnsi="Times New Roman" w:eastAsia="Times New Roman"/>
          <w:b/>
          <w:i/>
          <w:sz w:val="22"/>
        </w:rPr>
        <w:t>The governance effect generalizes across water hazard types and model architectures</w:t>
      </w:r>
    </w:p>
    <w:p>
      <w:pPr>
        <w:spacing w:after="0" w:before="0" w:line="480" w:lineRule="auto"/>
        <w:ind w:firstLine="432"/>
        <w:jc w:val="both"/>
      </w:pPr>
      <w:r>
        <w:rPr>
          <w:rFonts w:ascii="Times New Roman" w:hAnsi="Times New Roman" w:eastAsia="Times New Roman"/>
          <w:b w:val="0"/>
          <w:i w:val="0"/>
          <w:sz w:val="22"/>
        </w:rPr>
        <w:t>The governance mechanism that produces adaptive exploitation in chronic drought also generates higher behavioural diversity under acute flood hazard (Fig. 3). In the flood domain, 100 household agents made protective decisions (insurance, elevation, relocation, or inaction) over 10 years with stochastic flood events — a fundamentally different water context from continuous irrigation allocation. For the six-model comparison below, "governed" refers to agents with full governance validation and cognitively inspired memory (see Methods: Flood Domain Setup); for Gemma-3 4B, both memory configurations produced identical behavioural diversity (0.636 ± 0.044), confirming that the governance effect is attributable to the validator pipeline, not the memory subsystem. Governance reduced irrational behaviour rates for four of six models (p &lt; 0.01), with directionally consistent reductions in all six (IBR = 0.1–1.7% governed versus 0.8–11.6% ungoverned; Supplementary Table 1). The largest reductions occurred in models exhibiting the highest ungoverned violation rates (Ministral 14B: 11.6% → 0.4%; Ministral 3B: 8.9% → 1.7%).</w:t>
      </w:r>
    </w:p>
    <w:p>
      <w:pPr>
        <w:spacing w:after="0" w:before="0" w:line="480" w:lineRule="auto"/>
        <w:ind w:firstLine="432"/>
        <w:jc w:val="both"/>
      </w:pPr>
      <w:r>
        <w:rPr>
          <w:rFonts w:ascii="Times New Roman" w:hAnsi="Times New Roman" w:eastAsia="Times New Roman"/>
          <w:b w:val="0"/>
          <w:i w:val="0"/>
          <w:sz w:val="22"/>
        </w:rPr>
        <w:t>Six models spanning two families and three parameter scales (3.2B to 27B parameters) showed positive governance effects on behavioural diversity for five of six models, with three statistically significant (Fig. 4). The effect was strongest where ungoverned agents exhibited behavioural monoculture: Gemma-3 4B (Δ = +0.329) and Ministral 3B (+0.198). Three models produced non-significant effects: Gemma-3 12B (+0.027), Ministral 14B (+0.034), and Ministral 8B (−0.024), reflecting stronger baseline diversity at larger scales that left less room for governance to expand (see SI for model-specific discussion).</w:t>
      </w:r>
    </w:p>
    <w:p>
      <w:pPr>
        <w:spacing w:after="0" w:before="0" w:line="480" w:lineRule="auto"/>
        <w:ind w:firstLine="432"/>
        <w:jc w:val="both"/>
      </w:pPr>
      <w:r>
        <w:rPr>
          <w:rFonts w:ascii="Times New Roman" w:hAnsi="Times New Roman" w:eastAsia="Times New Roman"/>
          <w:b w:val="0"/>
          <w:i w:val="0"/>
          <w:sz w:val="22"/>
        </w:rPr>
        <w:t>The consistency across two water domains — with positive effects in five of six models, three statistically significant, and near-complete elimination of irrational behaviour — provides converging evidence that institutional governance enables adaptive behavioural diversity. Because both domains use the same governance architecture with domain-specific rule configurations rather than redesigned decision logic, the framework addresses a longstanding limitation of agent-based water models: the need to rebuild decision modules for each application domain.</w:t>
      </w:r>
    </w:p>
    <w:p>
      <w:pPr>
        <w:spacing w:after="80" w:before="240" w:line="480" w:lineRule="auto"/>
        <w:jc w:val="center"/>
      </w:pPr>
      <w:r>
        <w:drawing>
          <wp:inline xmlns:a="http://schemas.openxmlformats.org/drawingml/2006/main" xmlns:pic="http://schemas.openxmlformats.org/drawingml/2006/picture">
            <wp:extent cx="5486400" cy="4293920"/>
            <wp:docPr id="1" name="Picture 1"/>
            <wp:cNvGraphicFramePr>
              <a:graphicFrameLocks noChangeAspect="1"/>
            </wp:cNvGraphicFramePr>
            <a:graphic>
              <a:graphicData uri="http://schemas.openxmlformats.org/drawingml/2006/picture">
                <pic:pic>
                  <pic:nvPicPr>
                    <pic:cNvPr id="0" name="Fig2_irrigation.png"/>
                    <pic:cNvPicPr/>
                  </pic:nvPicPr>
                  <pic:blipFill>
                    <a:blip r:embed="rId9"/>
                    <a:stretch>
                      <a:fillRect/>
                    </a:stretch>
                  </pic:blipFill>
                  <pic:spPr>
                    <a:xfrm>
                      <a:off x="0" y="0"/>
                      <a:ext cx="5486400" cy="4293920"/>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2. Adaptive exploitation under institutional governance</w:t>
      </w:r>
      <w:r>
        <w:rPr>
          <w:rFonts w:ascii="Times New Roman" w:hAnsi="Times New Roman" w:eastAsia="Times New Roman"/>
          <w:b w:val="0"/>
          <w:i w:val="0"/>
          <w:sz w:val="18"/>
        </w:rPr>
        <w:t xml:space="preserve"> (irrigation domain, 78 agents × 42 years, 3 seeds). (a) Lake Mead elevation time series with shortage-tier thresholds. (b) Basin demand ratio (total request / total water right); governed agents (blue) track drought, ungoverned (vermillion) monotonically increase, FQL (grey) extracts similar volume but with no drought coupling. (c) Action distribution showing ungoverned collapse into demand increases and FQL dominance of validator-blocked maintain. "No ceiling" removes only the demand-ceiling validator. (d) Behavioural diversity versus demand–Mead coupling (Pearson r): governed agents occupy the adaptive-diversity quadrant (high diversity, strong coupling); the no-ceiling condition (green) shows arbitrary diversity (high diversity, weak coupling). Shaded bands show ± 1 s.d. across 3 seeds.</w:t>
      </w:r>
    </w:p>
    <w:p>
      <w:pPr>
        <w:spacing w:after="80" w:before="240" w:line="480" w:lineRule="auto"/>
        <w:jc w:val="center"/>
      </w:pPr>
      <w:r>
        <w:drawing>
          <wp:inline xmlns:a="http://schemas.openxmlformats.org/drawingml/2006/main" xmlns:pic="http://schemas.openxmlformats.org/drawingml/2006/picture">
            <wp:extent cx="5486400" cy="2498526"/>
            <wp:docPr id="2" name="Picture 2"/>
            <wp:cNvGraphicFramePr>
              <a:graphicFrameLocks noChangeAspect="1"/>
            </wp:cNvGraphicFramePr>
            <a:graphic>
              <a:graphicData uri="http://schemas.openxmlformats.org/drawingml/2006/picture">
                <pic:pic>
                  <pic:nvPicPr>
                    <pic:cNvPr id="0" name="Fig3_cumulative_adaptation.png"/>
                    <pic:cNvPicPr/>
                  </pic:nvPicPr>
                  <pic:blipFill>
                    <a:blip r:embed="rId10"/>
                    <a:stretch>
                      <a:fillRect/>
                    </a:stretch>
                  </pic:blipFill>
                  <pic:spPr>
                    <a:xfrm>
                      <a:off x="0" y="0"/>
                      <a:ext cx="5486400" cy="2498526"/>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3. Flood-adaptation trajectories across agent types</w:t>
      </w:r>
      <w:r>
        <w:rPr>
          <w:rFonts w:ascii="Times New Roman" w:hAnsi="Times New Roman" w:eastAsia="Times New Roman"/>
          <w:b w:val="0"/>
          <w:i w:val="0"/>
          <w:sz w:val="18"/>
        </w:rPr>
        <w:t xml:space="preserve"> (100 agents × 10 years, Gemma-3 4B). Bars show 3-seed means; error whiskers show ± 1 s.d. across seeds. (a) Rule-based PMT agents converge rapidly to elevation-dominated protection. (b) Ungoverned language agents stagnate in unprotected states. (c) Governed language agents develop a diverse mix of protection strategies including relocation, which neither rule-based nor ungoverned agents achieve. Insurance requires annual renewal; elevation is permanent.</w:t>
      </w:r>
    </w:p>
    <w:p>
      <w:pPr>
        <w:spacing w:after="80" w:before="240" w:line="480" w:lineRule="auto"/>
        <w:jc w:val="center"/>
      </w:pPr>
      <w:r>
        <w:drawing>
          <wp:inline xmlns:a="http://schemas.openxmlformats.org/drawingml/2006/main" xmlns:pic="http://schemas.openxmlformats.org/drawingml/2006/picture">
            <wp:extent cx="5486400" cy="2658500"/>
            <wp:docPr id="3" name="Picture 3"/>
            <wp:cNvGraphicFramePr>
              <a:graphicFrameLocks noChangeAspect="1"/>
            </wp:cNvGraphicFramePr>
            <a:graphic>
              <a:graphicData uri="http://schemas.openxmlformats.org/drawingml/2006/picture">
                <pic:pic>
                  <pic:nvPicPr>
                    <pic:cNvPr id="0" name="Fig4_crossmodel.png"/>
                    <pic:cNvPicPr/>
                  </pic:nvPicPr>
                  <pic:blipFill>
                    <a:blip r:embed="rId11"/>
                    <a:stretch>
                      <a:fillRect/>
                    </a:stretch>
                  </pic:blipFill>
                  <pic:spPr>
                    <a:xfrm>
                      <a:off x="0" y="0"/>
                      <a:ext cx="5486400" cy="2658500"/>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4. Governance effect on behavioural diversity across six language models</w:t>
      </w:r>
      <w:r>
        <w:rPr>
          <w:rFonts w:ascii="Times New Roman" w:hAnsi="Times New Roman" w:eastAsia="Times New Roman"/>
          <w:b w:val="0"/>
          <w:i w:val="0"/>
          <w:sz w:val="18"/>
        </w:rPr>
        <w:t xml:space="preserve"> (flood domain, 100 agents × 10 years, 3 runs per condition). Models sorted by parameter count (3.2B to 27B). (a) Paired dot plot showing ungoverned (red) vs governed (blue) behavioural diversity for each model; connecting lines indicate effect direction. (b) Forest plot of governance effect (Δ = governed − ungoverned) with 95% CIs; blue = statistically significant, grey = non-significant. Diamond shows pooled effect across all six models. Full IBR decomposition in Supplementary Table 1.</w:t>
      </w:r>
    </w:p>
    <w:p>
      <w:pPr>
        <w:spacing w:after="120" w:before="360" w:line="480" w:lineRule="auto"/>
        <w:jc w:val="left"/>
      </w:pPr>
      <w:r>
        <w:rPr>
          <w:rFonts w:ascii="Times New Roman" w:hAnsi="Times New Roman" w:eastAsia="Times New Roman"/>
          <w:b/>
          <w:i w:val="0"/>
          <w:sz w:val="24"/>
        </w:rPr>
        <w:t>Discussion</w:t>
      </w:r>
    </w:p>
    <w:p>
      <w:pPr>
        <w:spacing w:after="0" w:before="0" w:line="480" w:lineRule="auto"/>
        <w:ind w:firstLine="432"/>
        <w:jc w:val="both"/>
      </w:pPr>
      <w:r>
        <w:rPr>
          <w:rFonts w:ascii="Times New Roman" w:hAnsi="Times New Roman" w:eastAsia="Times New Roman"/>
          <w:b w:val="0"/>
          <w:i w:val="0"/>
          <w:sz w:val="22"/>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prior-appropriation-inspired systems, this parallels how shortage-sharing rules enable rights holders to extract their full entitlement in normal years because those rules ensure proportionate curtailment during drought — the institution does not reduce water use, it makes higher use safe.</w:t>
      </w:r>
    </w:p>
    <w:p>
      <w:pPr>
        <w:spacing w:after="0" w:before="0" w:line="480" w:lineRule="auto"/>
        <w:ind w:firstLine="432"/>
        <w:jc w:val="both"/>
      </w:pPr>
      <w:r>
        <w:rPr>
          <w:rFonts w:ascii="Times New Roman" w:hAnsi="Times New Roman" w:eastAsia="Times New Roman"/>
          <w:b w:val="0"/>
          <w:i w:val="0"/>
          <w:sz w:val="22"/>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spacing w:after="0" w:before="0" w:line="480" w:lineRule="auto"/>
        <w:ind w:firstLine="432"/>
        <w:jc w:val="both"/>
      </w:pPr>
      <w:r>
        <w:rPr>
          <w:rFonts w:ascii="Times New Roman" w:hAnsi="Times New Roman" w:eastAsia="Times New Roman"/>
          <w:b w:val="0"/>
          <w:i w:val="0"/>
          <w:sz w:val="22"/>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behavioural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Note 11).</w:t>
      </w:r>
    </w:p>
    <w:p>
      <w:pPr>
        <w:spacing w:after="0" w:before="0" w:line="480" w:lineRule="auto"/>
        <w:ind w:firstLine="432"/>
        <w:jc w:val="both"/>
      </w:pPr>
      <w:r>
        <w:rPr>
          <w:rFonts w:ascii="Times New Roman" w:hAnsi="Times New Roman" w:eastAsia="Times New Roman"/>
          <w:b w:val="0"/>
          <w:i w:val="0"/>
          <w:sz w:val="22"/>
        </w:rPr>
        <w:t>Governance also reveals reasoning patterns that illuminate how agents behave at institutional boundaries. Because the governance pipeline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Note 2 for paired reasoning traces). Across all governed runs, 42% of high-scarcity decisions still attempted demand increases despite drought signals. Governed BRI (58%) approximates the null expectation under uniform random action selection (60%), indicating that governance eliminates the directional increase-bias of ungoverned agents (BRI 9.4%) rather than optimizing decisions toward rationality (Table 1). Governance does not eliminate maladaptive water-use reasoning; it intercepts the proposal before execution and records the reasoning trace that produced it. This diagnostic capacity has no analogue in conventional water-resource agent models, where agents execute programmed allocation rules and cannot generate proposals that violate those rules.</w:t>
      </w:r>
    </w:p>
    <w:p>
      <w:pPr>
        <w:spacing w:after="0" w:before="0" w:line="480" w:lineRule="auto"/>
        <w:ind w:firstLine="432"/>
        <w:jc w:val="both"/>
      </w:pPr>
      <w:r>
        <w:rPr>
          <w:rFonts w:ascii="Times New Roman" w:hAnsi="Times New Roman" w:eastAsia="Times New Roman"/>
          <w:b w:val="0"/>
          <w:i w:val="0"/>
          <w:sz w:val="22"/>
        </w:rPr>
        <w:t>The tendency of governed agents to attempt demand increases during scarcity has empirical precedent in prior-appropriation-inspired systems, where irrigators historically increase diversions in anticipation of curtailment. Our governance architecture suppresses these proposals; future designs could distinguish between physically infeasible allocations and institutionally prohibited-but-observed diversion strategies, preserving them as diagnostic windows into water-use reasoning under scarcity. This distinguishes boundary constraints (what agents cannot do) from prescriptive constraints (what agents should do) — the majority of our rules enforce the former, leaving strategy selection to the agent.</w:t>
      </w:r>
    </w:p>
    <w:p>
      <w:pPr>
        <w:spacing w:after="0" w:before="0" w:line="480" w:lineRule="auto"/>
        <w:ind w:firstLine="432"/>
        <w:jc w:val="both"/>
      </w:pPr>
      <w:r>
        <w:rPr>
          <w:rFonts w:ascii="Times New Roman" w:hAnsi="Times New Roman" w:eastAsia="Times New Roman"/>
          <w:b w:val="0"/>
          <w:i w:val="0"/>
          <w:sz w:val="22"/>
        </w:rPr>
        <w:t>Several scope conditions apply. The governance effect on behavioural diversity is strongest for the smallest models (Gemma-3 4B: +0.329) and weakest for the largest (Ministral 8B: −0.024, Ministral 14B: +0.033). This pattern is consistent with two interpretations: governance compensates for limited model capability, or larger models already approach their diversity ceiling, leaving less room for governance to expand. The current design cannot distinguish these mechanisms; experiments with instruction-tuned models of equivalent scale but different capability profiles would clarify. Only one model (Gemma-3 4B) was tested in the irrigation domain; the multi-scale analysis is limited to flood. Both model families are instruction-tuned language models; generalization to reasoning-specialized architectures remains untested. The reservoir model simplifies the full CRSS system to a single reservoir; results should be interpreted as stylized institutional dynamics. Each domain required substantial configuration (personas, validators, action registries); transferability refers to the governance architecture, not the configuration effort. We note that doubling the insurance premium rate reversed the governance diversity effect in the flood domain (Supplementary Note 5), indicating that the adaptive diversity we observe depends on the institutional parameter configuration and is not an unconditional property of governance. Despite these limitations, the consistency of the governance effect — positive for five of six model scales on diversity, with significant reduction of irrational behaviour for four of six (directionally consistent in all six), across both water domains, and against a hand-coded baseline — suggests that institutional boundary enforcement is a robust mechanism for enabling adaptive behavioural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pPr>
        <w:spacing w:after="120" w:before="360" w:line="480" w:lineRule="auto"/>
        <w:jc w:val="left"/>
      </w:pPr>
      <w:r>
        <w:rPr>
          <w:rFonts w:ascii="Times New Roman" w:hAnsi="Times New Roman" w:eastAsia="Times New Roman"/>
          <w:b/>
          <w:i w:val="0"/>
          <w:sz w:val="24"/>
        </w:rPr>
        <w:t>Methods</w:t>
      </w:r>
    </w:p>
    <w:p>
      <w:pPr>
        <w:spacing w:after="80" w:before="240" w:line="480" w:lineRule="auto"/>
        <w:jc w:val="left"/>
      </w:pPr>
      <w:r>
        <w:rPr>
          <w:rFonts w:ascii="Times New Roman" w:hAnsi="Times New Roman" w:eastAsia="Times New Roman"/>
          <w:b/>
          <w:i/>
          <w:sz w:val="22"/>
        </w:rPr>
        <w:t>Broker Architecture and Governance Pipeline</w:t>
      </w:r>
    </w:p>
    <w:p>
      <w:pPr>
        <w:spacing w:after="0" w:before="0" w:line="480" w:lineRule="auto"/>
        <w:ind w:firstLine="432"/>
        <w:jc w:val="both"/>
      </w:pPr>
      <w:r>
        <w:rPr>
          <w:rFonts w:ascii="Times New Roman" w:hAnsi="Times New Roman" w:eastAsia="Times New Roman"/>
          <w:b w:val="0"/>
          <w:i w:val="0"/>
          <w:sz w:val="22"/>
        </w:rPr>
        <w:t>The Water Agent Governance Framework implements a three-layer architecture: an LLM agent layer, a governance pipeline, and a simulation engine. At each decision step, the framework assembles the information available to the agent — personal state variables, social observations from network neighbours, and system-level indicators (drought indices, flood forecasts, institutional announcements) — bounded to what the agent's role and location would permit access to. The agent produces a structured JSON output comprising a proposed action, natural-language reasoning, and psychological construct labels where applicable. The governance pipeline then evaluates this proposal through a six-step validation sequence:</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Schema validation</w:t>
      </w:r>
      <w:r>
        <w:rPr>
          <w:rFonts w:ascii="Times New Roman" w:hAnsi="Times New Roman" w:eastAsia="Times New Roman"/>
          <w:b w:val="0"/>
          <w:i w:val="0"/>
          <w:sz w:val="22"/>
        </w:rPr>
        <w:t>: Confirms the output conforms to the required JSON structure.</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Action legality</w:t>
      </w:r>
      <w:r>
        <w:rPr>
          <w:rFonts w:ascii="Times New Roman" w:hAnsi="Times New Roman" w:eastAsia="Times New Roman"/>
          <w:b w:val="0"/>
          <w:i w:val="0"/>
          <w:sz w:val="22"/>
        </w:rPr>
        <w:t>: Verifies the proposed action belongs to the agent's type-specific action registry.</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Physical feasibility</w:t>
      </w:r>
      <w:r>
        <w:rPr>
          <w:rFonts w:ascii="Times New Roman" w:hAnsi="Times New Roman" w:eastAsia="Times New Roman"/>
          <w:b w:val="0"/>
          <w:i w:val="0"/>
          <w:sz w:val="22"/>
        </w:rPr>
        <w:t>: Checks mass balance, capacity limits, and domain-specific physical constraints.</w:t>
      </w:r>
    </w:p>
    <w:p>
      <w:pPr>
        <w:spacing w:after="40" w:before="40" w:line="480" w:lineRule="auto"/>
        <w:ind w:left="720"/>
        <w:jc w:val="both"/>
      </w:pPr>
      <w:r>
        <w:rPr>
          <w:rFonts w:ascii="Times New Roman" w:hAnsi="Times New Roman" w:eastAsia="Times New Roman"/>
          <w:b w:val="0"/>
          <w:i w:val="0"/>
          <w:sz w:val="22"/>
        </w:rPr>
        <w:t xml:space="preserve">4. </w:t>
      </w:r>
      <w:r>
        <w:rPr>
          <w:rFonts w:ascii="Times New Roman" w:hAnsi="Times New Roman" w:eastAsia="Times New Roman"/>
          <w:b/>
          <w:i w:val="0"/>
          <w:sz w:val="22"/>
        </w:rPr>
        <w:t>Institutional compliance</w:t>
      </w:r>
      <w:r>
        <w:rPr>
          <w:rFonts w:ascii="Times New Roman" w:hAnsi="Times New Roman" w:eastAsia="Times New Roman"/>
          <w:b w:val="0"/>
          <w:i w:val="0"/>
          <w:sz w:val="22"/>
        </w:rPr>
        <w:t>: Validates against policy rules (prior-appropriation-inspired shortage tiers, programme eligibility).</w:t>
      </w:r>
    </w:p>
    <w:p>
      <w:pPr>
        <w:spacing w:after="40" w:before="40" w:line="480" w:lineRule="auto"/>
        <w:ind w:left="720"/>
        <w:jc w:val="both"/>
      </w:pPr>
      <w:r>
        <w:rPr>
          <w:rFonts w:ascii="Times New Roman" w:hAnsi="Times New Roman" w:eastAsia="Times New Roman"/>
          <w:b w:val="0"/>
          <w:i w:val="0"/>
          <w:sz w:val="22"/>
        </w:rPr>
        <w:t xml:space="preserve">5. </w:t>
      </w:r>
      <w:r>
        <w:rPr>
          <w:rFonts w:ascii="Times New Roman" w:hAnsi="Times New Roman" w:eastAsia="Times New Roman"/>
          <w:b/>
          <w:i w:val="0"/>
          <w:sz w:val="22"/>
        </w:rPr>
        <w:t>Magnitude plausibility</w:t>
      </w:r>
      <w:r>
        <w:rPr>
          <w:rFonts w:ascii="Times New Roman" w:hAnsi="Times New Roman" w:eastAsia="Times New Roman"/>
          <w:b w:val="0"/>
          <w:i w:val="0"/>
          <w:sz w:val="22"/>
        </w:rPr>
        <w:t>: Assesses whether proposed changes fall within empirically calibrated bounds (e.g., year-over-year demand shifts within +/-15%).</w:t>
      </w:r>
    </w:p>
    <w:p>
      <w:pPr>
        <w:spacing w:after="40" w:before="40" w:line="480" w:lineRule="auto"/>
        <w:ind w:left="720"/>
        <w:jc w:val="both"/>
      </w:pPr>
      <w:r>
        <w:rPr>
          <w:rFonts w:ascii="Times New Roman" w:hAnsi="Times New Roman" w:eastAsia="Times New Roman"/>
          <w:b w:val="0"/>
          <w:i w:val="0"/>
          <w:sz w:val="22"/>
        </w:rPr>
        <w:t xml:space="preserve">6. </w:t>
      </w:r>
      <w:r>
        <w:rPr>
          <w:rFonts w:ascii="Times New Roman" w:hAnsi="Times New Roman" w:eastAsia="Times New Roman"/>
          <w:b/>
          <w:i w:val="0"/>
          <w:sz w:val="22"/>
        </w:rPr>
        <w:t>Theory consistency</w:t>
      </w:r>
      <w:r>
        <w:rPr>
          <w:rFonts w:ascii="Times New Roman" w:hAnsi="Times New Roman" w:eastAsia="Times New Roman"/>
          <w:b w:val="0"/>
          <w:i w:val="0"/>
          <w:sz w:val="22"/>
        </w:rPr>
        <w:t>: For domains with explicit behavioural theory framing (e.g., Protection Motivation Theory), verifies alignment between stated reasoning constructs and the proposed action.</w:t>
      </w:r>
    </w:p>
    <w:p>
      <w:pPr>
        <w:spacing w:after="0" w:before="0" w:line="480" w:lineRule="auto"/>
        <w:ind w:firstLine="432"/>
        <w:jc w:val="both"/>
      </w:pPr>
      <w:r>
        <w:rPr>
          <w:rFonts w:ascii="Times New Roman" w:hAnsi="Times New Roman" w:eastAsia="Times New Roman"/>
          <w:b w:val="0"/>
          <w:i w:val="0"/>
          <w:sz w:val="22"/>
        </w:rPr>
        <w:t>When a proposal fails validation, the governance pipeline returns a structured explanation identifying the violated rule. The agent receives this feedback and may revise its proposal (up to three attempts). If the same rule blocks consecutive attempts, the revision cycle terminates and a domain-appropriate default action (typically "do nothing") executes, ensuring simulation advancement. Failed proposals, revision attempts, and governance explanations are recorded in structured decision logs for post-hoc analysis.</w:t>
      </w:r>
    </w:p>
    <w:p>
      <w:pPr>
        <w:spacing w:after="0" w:before="0" w:line="480" w:lineRule="auto"/>
        <w:ind w:firstLine="432"/>
        <w:jc w:val="both"/>
      </w:pPr>
      <w:r>
        <w:rPr>
          <w:rFonts w:ascii="Times New Roman" w:hAnsi="Times New Roman" w:eastAsia="Times New Roman"/>
          <w:b w:val="0"/>
          <w:i w:val="0"/>
          <w:sz w:val="22"/>
        </w:rPr>
        <w:t>The governance architecture is fixed code requiring no modification across domains. All domain-specific knowledge is expressed through declarative configuration files: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Action registries</w:t>
      </w:r>
      <w:r>
        <w:rPr>
          <w:rFonts w:ascii="Times New Roman" w:hAnsi="Times New Roman" w:eastAsia="Times New Roman"/>
          <w:b w:val="0"/>
          <w:i w:val="0"/>
          <w:sz w:val="22"/>
        </w:rPr>
        <w:t xml:space="preserve"> (YAML): Define the decision vocabulary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Agent-type specifications</w:t>
      </w:r>
      <w:r>
        <w:rPr>
          <w:rFonts w:ascii="Times New Roman" w:hAnsi="Times New Roman" w:eastAsia="Times New Roman"/>
          <w:b w:val="0"/>
          <w:i w:val="0"/>
          <w:sz w:val="22"/>
        </w:rPr>
        <w:t xml:space="preserve"> (YAML): Map state variables, decision attributes, and governance rule bindings.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Persona prompts</w:t>
      </w:r>
      <w:r>
        <w:rPr>
          <w:rFonts w:ascii="Times New Roman" w:hAnsi="Times New Roman" w:eastAsia="Times New Roman"/>
          <w:b w:val="0"/>
          <w:i w:val="0"/>
          <w:sz w:val="22"/>
        </w:rPr>
        <w:t xml:space="preserve"> (natural language): Establish cognitive framing, institutional context, and behavioural theory orientation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Governance rules</w:t>
      </w:r>
      <w:r>
        <w:rPr>
          <w:rFonts w:ascii="Times New Roman" w:hAnsi="Times New Roman" w:eastAsia="Times New Roman"/>
          <w:b w:val="0"/>
          <w:i w:val="0"/>
          <w:sz w:val="22"/>
        </w:rPr>
        <w:t xml:space="preserve"> (YAML): Specify validator stacks, thresholds, and severity levels (WARNING vs. ERROR).</w:t>
      </w:r>
    </w:p>
    <w:p>
      <w:pPr>
        <w:spacing w:after="80" w:before="240" w:line="480" w:lineRule="auto"/>
        <w:jc w:val="left"/>
      </w:pPr>
      <w:r>
        <w:rPr>
          <w:rFonts w:ascii="Times New Roman" w:hAnsi="Times New Roman" w:eastAsia="Times New Roman"/>
          <w:b/>
          <w:i/>
          <w:sz w:val="22"/>
        </w:rPr>
        <w:t>LLM Configuration and Inference</w:t>
      </w:r>
    </w:p>
    <w:p>
      <w:pPr>
        <w:spacing w:after="0" w:before="0" w:line="480" w:lineRule="auto"/>
        <w:ind w:firstLine="432"/>
        <w:jc w:val="both"/>
      </w:pPr>
      <w:r>
        <w:rPr>
          <w:rFonts w:ascii="Times New Roman" w:hAnsi="Times New Roman" w:eastAsia="Times New Roman"/>
          <w:b w:val="0"/>
          <w:i w:val="0"/>
          <w:sz w:val="22"/>
        </w:rPr>
        <w:t>All experiments used locally hosted open-weight models via Ollama, a local inference platform for open-weight language models. The primary model was Gemma-3 4B (Gemma Team, 2025; Ollama tag gemma3:4b); cross-scale comparisons included Gemma-3 12B (gemma3:12b) and 27B (gemma3:27b), and Ministral 3B, 8B, and 14B (a model series by Mistral AI; Ollama tags ministral:3b/8b/14b). Temperature was set to 0.8 with top_p = 0.9 (nucleus sampling threshold) and context window of 8,192 tokens. The temperature value follows common practice in generative agent studies (Park et al., 2023). Because temperature directly affects output diversity, the absolute values of behavioural diversity reflect this parameter choice. No temperature sensitivity analysis was conducted; the governance effect (governed minus ungoverned) may vary at different temperatures. Future work should systematically test temperature sensitivity across the range [0.2, 1.0]. Structured output was enforced through delimiter-bounded JSON response formats with rule-based preprocessing that corrects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spacing w:after="80" w:before="240" w:line="480" w:lineRule="auto"/>
        <w:jc w:val="left"/>
      </w:pPr>
      <w:r>
        <w:rPr>
          <w:rFonts w:ascii="Times New Roman" w:hAnsi="Times New Roman" w:eastAsia="Times New Roman"/>
          <w:b/>
          <w:i/>
          <w:sz w:val="22"/>
        </w:rPr>
        <w:t>Irrigation Domain Setup</w:t>
      </w:r>
    </w:p>
    <w:p>
      <w:pPr>
        <w:spacing w:after="0" w:before="0" w:line="480" w:lineRule="auto"/>
        <w:ind w:firstLine="432"/>
        <w:jc w:val="both"/>
      </w:pPr>
      <w:r>
        <w:rPr>
          <w:rFonts w:ascii="Times New Roman" w:hAnsi="Times New Roman" w:eastAsia="Times New Roman"/>
          <w:b w:val="0"/>
          <w:i w:val="0"/>
          <w:sz w:val="22"/>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actions define the decision vocabulary: increase demand (large or small), decrease demand (large or small), and maintain demand. Each action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no-ceiling ablation), 2 social (seniority compliance, basin-level coordination), 1 temporal (seasonal plausibility), and 1 behavioural (WSA-ACA construct-action alignment).</w:t>
      </w:r>
    </w:p>
    <w:p>
      <w:pPr>
        <w:spacing w:after="0" w:before="0" w:line="480" w:lineRule="auto"/>
        <w:ind w:firstLine="432"/>
        <w:jc w:val="both"/>
      </w:pPr>
      <w:r>
        <w:rPr>
          <w:rFonts w:ascii="Times New Roman" w:hAnsi="Times New Roman" w:eastAsia="Times New Roman"/>
          <w:b w:val="0"/>
          <w:i w:val="0"/>
          <w:sz w:val="22"/>
        </w:rPr>
        <w:t>To isolate the governance contribution, we conducted a two-condition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Governed</w:t>
      </w:r>
      <w:r>
        <w:rPr>
          <w:rFonts w:ascii="Times New Roman" w:hAnsi="Times New Roman" w:eastAsia="Times New Roman"/>
          <w:b w:val="0"/>
          <w:i w:val="0"/>
          <w:sz w:val="22"/>
        </w:rPr>
        <w:t>: Full governance pipeline (12 validators, WARNING and ERROR severity levels, retry loop with early exit). WARNING-level violations issue feedback but allow execution; ERROR-level violations block the proposal and trigger retries (max 3).</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Ungoverned</w:t>
      </w:r>
      <w:r>
        <w:rPr>
          <w:rFonts w:ascii="Times New Roman" w:hAnsi="Times New Roman" w:eastAsia="Times New Roman"/>
          <w:b w:val="0"/>
          <w:i w:val="0"/>
          <w:sz w:val="22"/>
        </w:rPr>
        <w:t>: Identical agent personas, environment, and magnitude sampling, but with governance disabled (no validators, no retry loop). The LLM freely selects any action; physical bounds are maintained solely through the code-level clamp in the simulation engine.</w:t>
      </w:r>
    </w:p>
    <w:p>
      <w:pPr>
        <w:spacing w:after="0" w:before="0" w:line="480" w:lineRule="auto"/>
        <w:ind w:firstLine="432"/>
        <w:jc w:val="both"/>
      </w:pPr>
      <w:r>
        <w:rPr>
          <w:rFonts w:ascii="Times New Roman" w:hAnsi="Times New Roman" w:eastAsia="Times New Roman"/>
          <w:b w:val="0"/>
          <w:i w:val="0"/>
          <w:sz w:val="22"/>
        </w:rPr>
        <w:t>A third condition tested targeted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No ceiling</w:t>
      </w:r>
      <w:r>
        <w:rPr>
          <w:rFonts w:ascii="Times New Roman" w:hAnsi="Times New Roman" w:eastAsia="Times New Roman"/>
          <w:b w:val="0"/>
          <w:i w:val="0"/>
          <w:sz w:val="22"/>
        </w:rPr>
        <w:t>: Full governance pipeline minus the demand-ceiling 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spacing w:after="0" w:before="0" w:line="480" w:lineRule="auto"/>
        <w:ind w:firstLine="432"/>
        <w:jc w:val="both"/>
      </w:pPr>
      <w:r>
        <w:rPr>
          <w:rFonts w:ascii="Times New Roman" w:hAnsi="Times New Roman" w:eastAsia="Times New Roman"/>
          <w:b w:val="0"/>
          <w:i w:val="0"/>
          <w:sz w:val="22"/>
        </w:rPr>
        <w:t>Each condition was run with 3 replicate seeds (42, 43, 44) for a total of 9 irrigation runs. Because magnitude is code-generated in all conditions, the ablation cleanly isolates the governance effect on action selection quality.</w:t>
      </w:r>
    </w:p>
    <w:p>
      <w:pPr>
        <w:spacing w:after="80" w:before="240" w:line="480" w:lineRule="auto"/>
        <w:jc w:val="left"/>
      </w:pPr>
      <w:r>
        <w:rPr>
          <w:rFonts w:ascii="Times New Roman" w:hAnsi="Times New Roman" w:eastAsia="Times New Roman"/>
          <w:b/>
          <w:i/>
          <w:sz w:val="22"/>
        </w:rPr>
        <w:t>Reservoir Simulation</w:t>
      </w:r>
    </w:p>
    <w:p>
      <w:pPr>
        <w:spacing w:after="0" w:before="0" w:line="480" w:lineRule="auto"/>
        <w:ind w:firstLine="432"/>
        <w:jc w:val="both"/>
      </w:pPr>
      <w:r>
        <w:rPr>
          <w:rFonts w:ascii="Times New Roman" w:hAnsi="Times New Roman" w:eastAsia="Times New Roman"/>
          <w:b w:val="0"/>
          <w:i w:val="0"/>
          <w:sz w:val="22"/>
        </w:rPr>
        <w:t>Agent decisions drive Lake Mead through an endogenous mass-balance model. At each annual timestep, the simulation computes:</w:t>
      </w:r>
    </w:p>
    <w:p>
      <w:pPr>
        <w:spacing w:after="0" w:before="0" w:line="480" w:lineRule="auto"/>
        <w:ind w:firstLine="432"/>
        <w:jc w:val="both"/>
      </w:pPr>
      <w:r>
        <w:rPr>
          <w:rFonts w:ascii="Times New Roman" w:hAnsi="Times New Roman" w:eastAsia="Times New Roman"/>
          <w:b w:val="0"/>
          <w:i w:val="0"/>
          <w:sz w:val="22"/>
        </w:rPr>
        <w:t>Storage(t+1) = Storage(t) + Inflows(t) − ΣWithdrawals(t) − Evaporation(t) − Downstream(t)</w:t>
      </w:r>
    </w:p>
    <w:p>
      <w:pPr>
        <w:spacing w:after="0" w:before="0" w:line="480" w:lineRule="auto"/>
        <w:ind w:firstLine="432"/>
        <w:jc w:val="both"/>
      </w:pPr>
      <w:r>
        <w:rPr>
          <w:rFonts w:ascii="Times New Roman" w:hAnsi="Times New Roman" w:eastAsia="Times New Roman"/>
          <w:b w:val="0"/>
          <w:i w:val="0"/>
          <w:sz w:val="22"/>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The simulation clamps storage changes to ±3.5 MAF/yr to prevent numerical instabilities.</w:t>
      </w:r>
    </w:p>
    <w:p>
      <w:pPr>
        <w:spacing w:after="0" w:before="0" w:line="480" w:lineRule="auto"/>
        <w:ind w:firstLine="432"/>
        <w:jc w:val="both"/>
      </w:pPr>
      <w:r>
        <w:rPr>
          <w:rFonts w:ascii="Times New Roman" w:hAnsi="Times New Roman" w:eastAsia="Times New Roman"/>
          <w:b w:val="0"/>
          <w:i w:val="0"/>
          <w:sz w:val="22"/>
        </w:rPr>
        <w:t>Shortage tiers activate at elevation thresholds following the 2007 Interim Guidelines: Tier 1 at 1,075 ft (5% curtailment), Tier 2 at 1,050 ft (10%), Tier 3 at 1,025 ft (20%). Shortage tiers reduce all agents' fulfilled diversions by the tier percentage — a simplification of the seniority-based curtailment sequence used in actual Colorado River operations, where junior rights are curtailed before senior rights. Upper Basin diversions are additionally constrained by a minimum Powell release of 7.0 MAF/yr and infrastructure capacity of 5.0 MAF/yr, with proportional reduction when aggregate Upper Basin demand exceeds the effective cap.</w:t>
      </w:r>
    </w:p>
    <w:p>
      <w:pPr>
        <w:spacing w:after="0" w:before="0" w:line="480" w:lineRule="auto"/>
        <w:ind w:firstLine="432"/>
        <w:jc w:val="both"/>
      </w:pPr>
      <w:r>
        <w:rPr>
          <w:rFonts w:ascii="Times New Roman" w:hAnsi="Times New Roman" w:eastAsia="Times New Roman"/>
          <w:b w:val="0"/>
          <w:i w:val="0"/>
          <w:sz w:val="22"/>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spacing w:after="0" w:before="0" w:line="480" w:lineRule="auto"/>
        <w:ind w:firstLine="432"/>
        <w:jc w:val="both"/>
      </w:pPr>
      <w:r>
        <w:rPr>
          <w:rFonts w:ascii="Times New Roman" w:hAnsi="Times New Roman" w:eastAsia="Times New Roman"/>
          <w:b w:val="0"/>
          <w:i w:val="0"/>
          <w:sz w:val="22"/>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spacing w:after="80" w:before="240" w:line="480" w:lineRule="auto"/>
        <w:jc w:val="left"/>
      </w:pPr>
      <w:r>
        <w:rPr>
          <w:rFonts w:ascii="Times New Roman" w:hAnsi="Times New Roman" w:eastAsia="Times New Roman"/>
          <w:b/>
          <w:i/>
          <w:sz w:val="22"/>
        </w:rPr>
        <w:t>Flood Domain Setup</w:t>
      </w:r>
    </w:p>
    <w:p>
      <w:pPr>
        <w:spacing w:after="0" w:before="0" w:line="480" w:lineRule="auto"/>
        <w:ind w:firstLine="432"/>
        <w:jc w:val="both"/>
      </w:pPr>
      <w:r>
        <w:rPr>
          <w:rFonts w:ascii="Times New Roman" w:hAnsi="Times New Roman" w:eastAsia="Times New Roman"/>
          <w:b w:val="0"/>
          <w:i w:val="0"/>
          <w:sz w:val="22"/>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actions are available: purchase flood insurance, elevate home, relocate, or do nothing. The elevation action is permanently blocked once completed.</w:t>
      </w:r>
    </w:p>
    <w:p>
      <w:pPr>
        <w:spacing w:after="0" w:before="0" w:line="480" w:lineRule="auto"/>
        <w:ind w:firstLine="432"/>
        <w:jc w:val="both"/>
      </w:pPr>
      <w:r>
        <w:rPr>
          <w:rFonts w:ascii="Times New Roman" w:hAnsi="Times New Roman" w:eastAsia="Times New Roman"/>
          <w:b w:val="0"/>
          <w:i w:val="0"/>
          <w:sz w:val="22"/>
        </w:rPr>
        <w:t>The experiment uses a three-group factorial design: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Ungoverned</w:t>
      </w:r>
      <w:r>
        <w:rPr>
          <w:rFonts w:ascii="Times New Roman" w:hAnsi="Times New Roman" w:eastAsia="Times New Roman"/>
          <w:b w:val="0"/>
          <w:i w:val="0"/>
          <w:sz w:val="22"/>
        </w:rPr>
        <w:t>: LLM with window memory and governance validation disabled — establishes the baseline behavioural quality. Critically, ungoverned agents receive identical prompt templates, PMT-based response format requirements, and environmental context signals as governed agents; the only difference is that proposed decisions bypass governance validation and execute directly.</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Governed</w:t>
      </w:r>
      <w:r>
        <w:rPr>
          <w:rFonts w:ascii="Times New Roman" w:hAnsi="Times New Roman" w:eastAsia="Times New Roman"/>
          <w:b w:val="0"/>
          <w:i w:val="0"/>
          <w:sz w:val="22"/>
        </w:rPr>
        <w:t>: LLM with window memory (5-year window) and full governance validation — isolates the governance effect.</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Governed (HumanCentric memory)</w:t>
      </w:r>
      <w:r>
        <w:rPr>
          <w:rFonts w:ascii="Times New Roman" w:hAnsi="Times New Roman" w:eastAsia="Times New Roman"/>
          <w:b w:val="0"/>
          <w:i w:val="0"/>
          <w:sz w:val="22"/>
        </w:rPr>
        <w:t>: LLM with surprise-weighted, arousal-gated memory featuring stochastic consolidation and exponential decay, plus full governance validation — tests whether cognitively inspired memory improves native alignment. For Gemma-3 4B, main-text comparisons use ungoverned vs governed (window memory); for the cross-model comparison (six models, Fig. 4), ungoverned vs governed (HumanCentric memory) were run because the window-memory governed condition was conducted only for Gemma-3 4B. Both governed conditions share identical governance validators; they differ only in memory subsystem (see Supplementary Table 1 note).</w:t>
      </w:r>
    </w:p>
    <w:p>
      <w:pPr>
        <w:spacing w:after="0" w:before="0" w:line="480" w:lineRule="auto"/>
        <w:ind w:firstLine="432"/>
        <w:jc w:val="both"/>
      </w:pPr>
      <w:r>
        <w:rPr>
          <w:rFonts w:ascii="Times New Roman" w:hAnsi="Times New Roman" w:eastAsia="Times New Roman"/>
          <w:b w:val="0"/>
          <w:i w:val="0"/>
          <w:sz w:val="22"/>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Strategy diversity metric.</w:t>
      </w:r>
      <w:r>
        <w:rPr>
          <w:rFonts w:ascii="Times New Roman" w:hAnsi="Times New Roman" w:eastAsia="Times New Roman"/>
          <w:b w:val="0"/>
          <w:i w:val="0"/>
          <w:sz w:val="22"/>
        </w:rPr>
        <w:t xml:space="preserve"> For both domains, behavioural diversity is measured from each agent's annual action selection — the decision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spacing w:after="80" w:before="240" w:line="480" w:lineRule="auto"/>
        <w:jc w:val="left"/>
      </w:pPr>
      <w:r>
        <w:rPr>
          <w:rFonts w:ascii="Times New Roman" w:hAnsi="Times New Roman" w:eastAsia="Times New Roman"/>
          <w:b/>
          <w:i/>
          <w:sz w:val="22"/>
        </w:rPr>
        <w:t>Rule-Based PMT Agent</w:t>
      </w:r>
    </w:p>
    <w:p>
      <w:pPr>
        <w:spacing w:after="0" w:before="0" w:line="480" w:lineRule="auto"/>
        <w:ind w:firstLine="432"/>
        <w:jc w:val="both"/>
      </w:pPr>
      <w:r>
        <w:rPr>
          <w:rFonts w:ascii="Times New Roman" w:hAnsi="Times New Roman" w:eastAsia="Times New Roman"/>
          <w:b w:val="0"/>
          <w:i w:val="0"/>
          <w:sz w:val="22"/>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behavioural diversity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spacing w:after="80" w:before="240" w:line="480" w:lineRule="auto"/>
        <w:jc w:val="left"/>
      </w:pPr>
      <w:r>
        <w:rPr>
          <w:rFonts w:ascii="Times New Roman" w:hAnsi="Times New Roman" w:eastAsia="Times New Roman"/>
          <w:b/>
          <w:i/>
          <w:sz w:val="22"/>
        </w:rPr>
        <w:t>Validation Protocol</w:t>
      </w:r>
    </w:p>
    <w:p>
      <w:pPr>
        <w:spacing w:after="0" w:before="0" w:line="480" w:lineRule="auto"/>
        <w:ind w:firstLine="432"/>
        <w:jc w:val="both"/>
      </w:pPr>
      <w:r>
        <w:rPr>
          <w:rFonts w:ascii="Times New Roman" w:hAnsi="Times New Roman" w:eastAsia="Times New Roman"/>
          <w:b w:val="0"/>
          <w:i w:val="0"/>
          <w:sz w:val="22"/>
        </w:rPr>
        <w:t>We adopted a multi-level validation protocol informed by pattern-oriented modelling principles (Grimm et al., 2005).</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1 — Micro-behavioural coherence.</w:t>
      </w:r>
      <w:r>
        <w:rPr>
          <w:rFonts w:ascii="Times New Roman" w:hAnsi="Times New Roman" w:eastAsia="Times New Roman"/>
          <w:b w:val="0"/>
          <w:i w:val="0"/>
          <w:sz w:val="22"/>
        </w:rPr>
        <w:t xml:space="preserv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action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 In the main text, we report IBR (percentage of irrational decisions) for the flood domain and BRI (Behavioural Rationality Index = fraction of rational decisions under high scarcity) for irrigation; BRI approximates 1 − IBR but uses a domain-specific definition where rational behaviour is defined as not increasing demand during high water scarcity (null expectation under uniform random action = 60%).</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2 — Population-level patterns.</w:t>
      </w:r>
      <w:r>
        <w:rPr>
          <w:rFonts w:ascii="Times New Roman" w:hAnsi="Times New Roman" w:eastAsia="Times New Roman"/>
          <w:b w:val="0"/>
          <w:i w:val="0"/>
          <w:sz w:val="22"/>
        </w:rPr>
        <w:t xml:space="preserve"> We quantify behavioural diversity using the effective heterogeneity entropy (EHE), a normalized Shannon entropy over the distribution of actions chosen by agents across all decision periods (see Supplementary Note 2 for formal definition). Specifically, behavioural diversity is computed as H / log₂(k), where H is the Shannon entropy of the action frequency distribution and k is the number of actions in the agent's designed decision interface (k = 4 for flood, k = 5 for irrigation). A value of 0 indicates behavioural monoculture (all agents choose the same action); a value of 1 indicates a perfectly uniform distribution across all available actions. Cognitive lifespan T_life is defined as the number of simulated years during which behavioural diversity exceeds 0.4, capturing when a population collapses into repetitive behaviour. For irrigation, aggregate demand ratio against CRSS baseline serves as the primary population-level calibration target. Demand–Mead coupling is measured as the Pearson correlation (r) between annual Lake Mead elevation and annual mean demand ratio; positive values indicate agents reduce demand during drought.</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3 — Cross-scale comparison.</w:t>
      </w:r>
      <w:r>
        <w:rPr>
          <w:rFonts w:ascii="Times New Roman" w:hAnsi="Times New Roman" w:eastAsia="Times New Roman"/>
          <w:b w:val="0"/>
          <w:i w:val="0"/>
          <w:sz w:val="22"/>
        </w:rPr>
        <w:t xml:space="preserve"> To assess whether governance compensates for model scale, we compare governed 4B agents against ungoverned agents at 12B and 27B scales using Mann-Whitney U tests, Cohen's d effect sizes, and bootstrap confidence intervals on behavioural diversity differences.</w:t>
      </w:r>
    </w:p>
    <w:p>
      <w:pPr>
        <w:spacing w:after="80" w:before="240" w:line="480" w:lineRule="auto"/>
        <w:jc w:val="left"/>
      </w:pPr>
      <w:r>
        <w:rPr>
          <w:rFonts w:ascii="Times New Roman" w:hAnsi="Times New Roman" w:eastAsia="Times New Roman"/>
          <w:b/>
          <w:i/>
          <w:sz w:val="22"/>
        </w:rPr>
        <w:t>Statistical Analysis</w:t>
      </w:r>
    </w:p>
    <w:p>
      <w:pPr>
        <w:spacing w:after="0" w:before="0" w:line="480" w:lineRule="auto"/>
        <w:ind w:firstLine="432"/>
        <w:jc w:val="both"/>
      </w:pPr>
      <w:r>
        <w:rPr>
          <w:rFonts w:ascii="Times New Roman" w:hAnsi="Times New Roman" w:eastAsia="Times New Roman"/>
          <w:b w:val="0"/>
          <w:i w:val="0"/>
          <w:sz w:val="22"/>
        </w:rPr>
        <w:t>Each experimental condition was replicated with three independent random seeds. This ensemble size is consistent with standard practice in agent-based water-resource modelling, where individual runs aggregate hundreds to thousands of agent decisions and replicate seeds serve as robustness checks on stochastic initialisation rather than formal hypothesis tests (Schlüter et al., 2017). Each seed generates 1,000 agent-year decisions (100 agents × 10 years) for flood and 3,276 (78 agents × 42 years) for irrigation. We report means ± s.d. across seeds and 95% confidence intervals from the paired t-distribution (df = 2); all governance effects on IBR were directionally consistent across every seed for all six models tested. For agent-level analyses, we computed chi-squared tests on aggregate action distributions pooled across seeds, which provide adequate power given the large number of agent-decisions per condition (3,000 for flood, 9,828 for irrigation). To decompose the governance contribution, we computed CACR on proposed actions (pre-validation) and final actions (post-validation), yielding a governance improvement metric. All analyses were conducted in Python 3.11 using NumPy, SciPy, and pandas.</w:t>
      </w:r>
    </w:p>
    <w:p>
      <w:pPr>
        <w:spacing w:after="120" w:before="360" w:line="480" w:lineRule="auto"/>
        <w:jc w:val="left"/>
      </w:pPr>
      <w:r>
        <w:rPr>
          <w:rFonts w:ascii="Times New Roman" w:hAnsi="Times New Roman" w:eastAsia="Times New Roman"/>
          <w:b/>
          <w:i w:val="0"/>
          <w:sz w:val="28"/>
        </w:rPr>
        <w:t>References</w:t>
      </w:r>
    </w:p>
    <w:p>
      <w:pPr>
        <w:spacing w:after="20" w:before="20" w:line="480" w:lineRule="auto"/>
        <w:ind w:left="432" w:hanging="432"/>
        <w:jc w:val="both"/>
      </w:pPr>
      <w:r>
        <w:rPr>
          <w:rFonts w:ascii="Times New Roman" w:hAnsi="Times New Roman" w:eastAsia="Times New Roman"/>
          <w:b w:val="0"/>
          <w:i w:val="0"/>
          <w:sz w:val="20"/>
        </w:rPr>
        <w:t>An, L. Modeling human decisions in coupled human and natural systems: review of agent-based models. Ecol. Model. 229, 25–36 (2012).</w:t>
      </w:r>
    </w:p>
    <w:p>
      <w:pPr>
        <w:spacing w:after="20" w:before="20" w:line="480" w:lineRule="auto"/>
        <w:ind w:left="432" w:hanging="432"/>
        <w:jc w:val="both"/>
      </w:pPr>
      <w:r>
        <w:rPr>
          <w:rFonts w:ascii="Times New Roman" w:hAnsi="Times New Roman" w:eastAsia="Times New Roman"/>
          <w:b w:val="0"/>
          <w:i w:val="0"/>
          <w:sz w:val="20"/>
        </w:rPr>
        <w:t>Bankes, S. Exploratory modeling for policy analysis. Oper. Res. 41, 435–449 (1993).</w:t>
      </w:r>
    </w:p>
    <w:p>
      <w:pPr>
        <w:spacing w:after="20" w:before="20" w:line="480" w:lineRule="auto"/>
        <w:ind w:left="432" w:hanging="432"/>
        <w:jc w:val="both"/>
      </w:pPr>
      <w:r>
        <w:rPr>
          <w:rFonts w:ascii="Times New Roman" w:hAnsi="Times New Roman" w:eastAsia="Times New Roman"/>
          <w:b w:val="0"/>
          <w:i w:val="0"/>
          <w:sz w:val="20"/>
        </w:rPr>
        <w:t>Berglund, E. Z. Using agent-based modeling for water resources planning and management. J. Water Resour. Plan. Manage. 141, 04015025 (2015).</w:t>
      </w:r>
    </w:p>
    <w:p>
      <w:pPr>
        <w:spacing w:after="20" w:before="20" w:line="480" w:lineRule="auto"/>
        <w:ind w:left="432" w:hanging="432"/>
        <w:jc w:val="both"/>
      </w:pPr>
      <w:r>
        <w:rPr>
          <w:rFonts w:ascii="Times New Roman" w:hAnsi="Times New Roman" w:eastAsia="Times New Roman"/>
          <w:b w:val="0"/>
          <w:i w:val="0"/>
          <w:sz w:val="20"/>
        </w:rPr>
        <w:t>Blair, P. &amp; Buytaert, W. Socio-hydrological modelling: a review asking 'why, what and how?'. Hydrol. Earth Syst. Sci. 20, 443–478 (2016).</w:t>
      </w:r>
    </w:p>
    <w:p>
      <w:pPr>
        <w:spacing w:after="20" w:before="20" w:line="480" w:lineRule="auto"/>
        <w:ind w:left="432" w:hanging="432"/>
        <w:jc w:val="both"/>
      </w:pPr>
      <w:r>
        <w:rPr>
          <w:rFonts w:ascii="Times New Roman" w:hAnsi="Times New Roman" w:eastAsia="Times New Roman"/>
          <w:b w:val="0"/>
          <w:i w:val="0"/>
          <w:sz w:val="20"/>
        </w:rPr>
        <w:t>Bonabeau, E. Agent-based modeling: methods and techniques for simulating human systems. Proc. Natl Acad. Sci. USA 99, 7280–7287 (2002).</w:t>
      </w:r>
    </w:p>
    <w:p>
      <w:pPr>
        <w:spacing w:after="20" w:before="20" w:line="480" w:lineRule="auto"/>
        <w:ind w:left="432" w:hanging="432"/>
        <w:jc w:val="both"/>
      </w:pPr>
      <w:r>
        <w:rPr>
          <w:rFonts w:ascii="Times New Roman" w:hAnsi="Times New Roman" w:eastAsia="Times New Roman"/>
          <w:b w:val="0"/>
          <w:i w:val="0"/>
          <w:sz w:val="20"/>
        </w:rPr>
        <w:t>Bubeck, P. et al. A review of risk perceptions and other factors that influence flood mitigation behavior. Risk Anal. 32, 1481–1495 (2012).</w:t>
      </w:r>
    </w:p>
    <w:p>
      <w:pPr>
        <w:spacing w:after="20" w:before="20" w:line="480" w:lineRule="auto"/>
        <w:ind w:left="432" w:hanging="432"/>
        <w:jc w:val="both"/>
      </w:pPr>
      <w:r>
        <w:rPr>
          <w:rFonts w:ascii="Times New Roman" w:hAnsi="Times New Roman" w:eastAsia="Times New Roman"/>
          <w:b w:val="0"/>
          <w:i w:val="0"/>
          <w:sz w:val="20"/>
        </w:rPr>
        <w:t>Castilla-Rho, J. C. et al. An agent-based platform for simulating complex human–aquifer interactions in managed groundwater systems. Environ. Model. Softw. 73, 305–323 (2015).</w:t>
      </w:r>
    </w:p>
    <w:p>
      <w:pPr>
        <w:spacing w:after="20" w:before="20" w:line="480" w:lineRule="auto"/>
        <w:ind w:left="432" w:hanging="432"/>
        <w:jc w:val="both"/>
      </w:pPr>
      <w:r>
        <w:rPr>
          <w:rFonts w:ascii="Times New Roman" w:hAnsi="Times New Roman" w:eastAsia="Times New Roman"/>
          <w:b w:val="0"/>
          <w:i w:val="0"/>
          <w:sz w:val="20"/>
        </w:rPr>
        <w:t>Di Baldassarre, G. et al. Sociohydrology: scientific challenges in addressing the sustainable development goals. Water Resour. Res. 55, 6327–6355 (2019).</w:t>
      </w:r>
    </w:p>
    <w:p>
      <w:pPr>
        <w:spacing w:after="20" w:before="20" w:line="480" w:lineRule="auto"/>
        <w:ind w:left="432" w:hanging="432"/>
        <w:jc w:val="both"/>
      </w:pPr>
      <w:r>
        <w:rPr>
          <w:rFonts w:ascii="Times New Roman" w:hAnsi="Times New Roman" w:eastAsia="Times New Roman"/>
          <w:b w:val="0"/>
          <w:i w:val="0"/>
          <w:sz w:val="20"/>
        </w:rPr>
        <w:t>Epstein, J. M. &amp; Axtell, R. Growing Artificial Societies: Social Science from the Bottom Up (MIT Press, 1996).</w:t>
      </w:r>
    </w:p>
    <w:p>
      <w:pPr>
        <w:spacing w:after="20" w:before="20" w:line="480" w:lineRule="auto"/>
        <w:ind w:left="432" w:hanging="432"/>
        <w:jc w:val="both"/>
      </w:pPr>
      <w:r>
        <w:rPr>
          <w:rFonts w:ascii="Times New Roman" w:hAnsi="Times New Roman" w:eastAsia="Times New Roman"/>
          <w:b w:val="0"/>
          <w:i w:val="0"/>
          <w:sz w:val="20"/>
        </w:rPr>
        <w:t>Guo, T. et al. Large language model based multi-agents: a survey of progress and challenges. Preprint at https://arxiv.org/abs/2402.01680 (2024).</w:t>
      </w:r>
    </w:p>
    <w:p>
      <w:pPr>
        <w:spacing w:after="20" w:before="20" w:line="480" w:lineRule="auto"/>
        <w:ind w:left="432" w:hanging="432"/>
        <w:jc w:val="both"/>
      </w:pPr>
      <w:r>
        <w:rPr>
          <w:rFonts w:ascii="Times New Roman" w:hAnsi="Times New Roman" w:eastAsia="Times New Roman"/>
          <w:b w:val="0"/>
          <w:i w:val="0"/>
          <w:sz w:val="20"/>
        </w:rPr>
        <w:t>Gemma Team. Gemma 3 Technical Report. Preprint at https://arxiv.org/abs/2503.19786 (2025).</w:t>
      </w:r>
    </w:p>
    <w:p>
      <w:pPr>
        <w:spacing w:after="20" w:before="20" w:line="480" w:lineRule="auto"/>
        <w:ind w:left="432" w:hanging="432"/>
        <w:jc w:val="both"/>
      </w:pPr>
      <w:r>
        <w:rPr>
          <w:rFonts w:ascii="Times New Roman" w:hAnsi="Times New Roman" w:eastAsia="Times New Roman"/>
          <w:b w:val="0"/>
          <w:i w:val="0"/>
          <w:sz w:val="20"/>
        </w:rPr>
        <w:t>Grimm, V. et al. Pattern-oriented modeling of agent-based complex systems: lessons from ecology. Science 310, 987–991 (2005).</w:t>
      </w:r>
    </w:p>
    <w:p>
      <w:pPr>
        <w:spacing w:after="20" w:before="20" w:line="480" w:lineRule="auto"/>
        <w:ind w:left="432" w:hanging="432"/>
        <w:jc w:val="both"/>
      </w:pPr>
      <w:r>
        <w:rPr>
          <w:rFonts w:ascii="Times New Roman" w:hAnsi="Times New Roman" w:eastAsia="Times New Roman"/>
          <w:b w:val="0"/>
          <w:i w:val="0"/>
          <w:sz w:val="20"/>
        </w:rPr>
        <w:t>Haer, T., Botzen, W. J. W., de Moel, H. &amp; Aerts, J. C. J. H. Integrating household risk mitigation behavior in flood risk analysis: an agent-based model approach. Risk Anal. 37, 1977–1992 (2017).</w:t>
      </w:r>
    </w:p>
    <w:p>
      <w:pPr>
        <w:spacing w:after="20" w:before="20" w:line="480" w:lineRule="auto"/>
        <w:ind w:left="432" w:hanging="432"/>
        <w:jc w:val="both"/>
      </w:pPr>
      <w:r>
        <w:rPr>
          <w:rFonts w:ascii="Times New Roman" w:hAnsi="Times New Roman" w:eastAsia="Times New Roman"/>
          <w:b w:val="0"/>
          <w:i w:val="0"/>
          <w:sz w:val="20"/>
        </w:rPr>
        <w:t>Huang, L. et al. A survey on hallucination in large language models: principles, taxonomy, challenges, and open questions. ACM Trans. Inf. Syst. 43, 1–55 (2025).</w:t>
      </w:r>
    </w:p>
    <w:p>
      <w:pPr>
        <w:spacing w:after="20" w:before="20" w:line="480" w:lineRule="auto"/>
        <w:ind w:left="432" w:hanging="432"/>
        <w:jc w:val="both"/>
      </w:pPr>
      <w:r>
        <w:rPr>
          <w:rFonts w:ascii="Times New Roman" w:hAnsi="Times New Roman" w:eastAsia="Times New Roman"/>
          <w:b w:val="0"/>
          <w:i w:val="0"/>
          <w:sz w:val="20"/>
        </w:rPr>
        <w:t>Hung, F. &amp; Yang, Y.-C. E. Assessing adaptive irrigation impacts on water scarcity in nonstationary environments — a multi-agent reinforcement learning approach. Water Resour. Res. 57, e2020WR029262 (2021).</w:t>
      </w:r>
    </w:p>
    <w:p>
      <w:pPr>
        <w:spacing w:after="20" w:before="20" w:line="480" w:lineRule="auto"/>
        <w:ind w:left="432" w:hanging="432"/>
        <w:jc w:val="both"/>
      </w:pPr>
      <w:r>
        <w:rPr>
          <w:rFonts w:ascii="Times New Roman" w:hAnsi="Times New Roman" w:eastAsia="Times New Roman"/>
          <w:b w:val="0"/>
          <w:i w:val="0"/>
          <w:sz w:val="20"/>
        </w:rPr>
        <w:t>Liu, J. et al. Complexity of coupled human and natural systems. Science 317, 1513–1516 (2007).</w:t>
      </w:r>
    </w:p>
    <w:p>
      <w:pPr>
        <w:spacing w:after="20" w:before="20" w:line="480" w:lineRule="auto"/>
        <w:ind w:left="432" w:hanging="432"/>
        <w:jc w:val="both"/>
      </w:pPr>
      <w:r>
        <w:rPr>
          <w:rFonts w:ascii="Times New Roman" w:hAnsi="Times New Roman" w:eastAsia="Times New Roman"/>
          <w:b w:val="0"/>
          <w:i w:val="0"/>
          <w:sz w:val="20"/>
        </w:rPr>
        <w:t>Maass, A. et al. Design of Water-Resource Systems: New Techniques for Relating Economic Objectives, Engineering Analysis, and Governmental Planning (Harvard Univ. Press, 1962).</w:t>
      </w:r>
    </w:p>
    <w:p>
      <w:pPr>
        <w:spacing w:after="20" w:before="20" w:line="480" w:lineRule="auto"/>
        <w:ind w:left="432" w:hanging="432"/>
        <w:jc w:val="both"/>
      </w:pPr>
      <w:r>
        <w:rPr>
          <w:rFonts w:ascii="Times New Roman" w:hAnsi="Times New Roman" w:eastAsia="Times New Roman"/>
          <w:b w:val="0"/>
          <w:i w:val="0"/>
          <w:sz w:val="20"/>
        </w:rPr>
        <w:t>Müller, B. et al. Describing human decisions in agent-based models — ODD+D, an extension of the ODD protocol. Environ. Model. Softw. 48, 37–48 (2013).</w:t>
      </w:r>
    </w:p>
    <w:p>
      <w:pPr>
        <w:spacing w:after="20" w:before="20" w:line="480" w:lineRule="auto"/>
        <w:ind w:left="432" w:hanging="432"/>
        <w:jc w:val="both"/>
      </w:pPr>
      <w:r>
        <w:rPr>
          <w:rFonts w:ascii="Times New Roman" w:hAnsi="Times New Roman" w:eastAsia="Times New Roman"/>
          <w:b w:val="0"/>
          <w:i w:val="0"/>
          <w:sz w:val="20"/>
        </w:rPr>
        <w:t>Ostrom, E. Governing the Commons: The Evolution of Institutions for Collective Action (Cambridge Univ. Press, 1990).</w:t>
      </w:r>
    </w:p>
    <w:p>
      <w:pPr>
        <w:spacing w:after="20" w:before="20" w:line="480" w:lineRule="auto"/>
        <w:ind w:left="432" w:hanging="432"/>
        <w:jc w:val="both"/>
      </w:pPr>
      <w:r>
        <w:rPr>
          <w:rFonts w:ascii="Times New Roman" w:hAnsi="Times New Roman" w:eastAsia="Times New Roman"/>
          <w:b w:val="0"/>
          <w:i w:val="0"/>
          <w:sz w:val="20"/>
        </w:rPr>
        <w:t>Park, J. S. et al. Generative agents: interactive simulacra of human behavior. In Proc. 36th ACM Symp. on User Interface Software and Technology 1–22 (2023).</w:t>
      </w:r>
    </w:p>
    <w:p>
      <w:pPr>
        <w:spacing w:after="20" w:before="20" w:line="480" w:lineRule="auto"/>
        <w:ind w:left="432" w:hanging="432"/>
        <w:jc w:val="both"/>
      </w:pPr>
      <w:r>
        <w:rPr>
          <w:rFonts w:ascii="Times New Roman" w:hAnsi="Times New Roman" w:eastAsia="Times New Roman"/>
          <w:b w:val="0"/>
          <w:i w:val="0"/>
          <w:sz w:val="20"/>
        </w:rPr>
        <w:t>Rogers, R. W. Cognitive and physiological processes in fear appeals and attitude change: a revised theory of protection motivation. In Social Psychophysiology: A Sourcebook (eds Cacioppo, J. T. &amp; Petty, R. E.) 153–176 (Guilford, 1983).</w:t>
      </w:r>
    </w:p>
    <w:p>
      <w:pPr>
        <w:spacing w:after="20" w:before="20" w:line="480" w:lineRule="auto"/>
        <w:ind w:left="432" w:hanging="432"/>
        <w:jc w:val="both"/>
      </w:pPr>
      <w:r>
        <w:rPr>
          <w:rFonts w:ascii="Times New Roman" w:hAnsi="Times New Roman" w:eastAsia="Times New Roman"/>
          <w:b w:val="0"/>
          <w:i w:val="0"/>
          <w:sz w:val="20"/>
        </w:rPr>
        <w:t>Schlüter, M. et al. A framework for mapping and comparing behavioural theories in models of social-ecological systems. Ecol. Econ. 131, 21–35 (2017).</w:t>
      </w:r>
    </w:p>
    <w:p>
      <w:pPr>
        <w:spacing w:after="20" w:before="20" w:line="480" w:lineRule="auto"/>
        <w:ind w:left="432" w:hanging="432"/>
        <w:jc w:val="both"/>
      </w:pPr>
      <w:r>
        <w:rPr>
          <w:rFonts w:ascii="Times New Roman" w:hAnsi="Times New Roman" w:eastAsia="Times New Roman"/>
          <w:b w:val="0"/>
          <w:i w:val="0"/>
          <w:sz w:val="20"/>
        </w:rPr>
        <w:t>Sivapalan, M. et al. Socio-hydrology: a new science of people and water. Hydrol. Process. 26, 1270–1276 (2012).</w:t>
      </w:r>
    </w:p>
    <w:p>
      <w:pPr>
        <w:spacing w:after="20" w:before="20" w:line="480" w:lineRule="auto"/>
        <w:ind w:left="432" w:hanging="432"/>
        <w:jc w:val="both"/>
      </w:pPr>
      <w:r>
        <w:rPr>
          <w:rFonts w:ascii="Times New Roman" w:hAnsi="Times New Roman" w:eastAsia="Times New Roman"/>
          <w:b w:val="0"/>
          <w:i w:val="0"/>
          <w:sz w:val="20"/>
        </w:rPr>
        <w:t>Vezhnevets, A. S. et al. Generative agent-based modeling with actions grounded in physical, social, or digital space using Concordia. Preprint at https://arxiv.org/abs/2312.03664 (2023).</w:t>
      </w:r>
    </w:p>
    <w:p>
      <w:pPr>
        <w:spacing w:after="120" w:before="360" w:line="480" w:lineRule="auto"/>
        <w:jc w:val="left"/>
      </w:pPr>
      <w:r>
        <w:rPr>
          <w:rFonts w:ascii="Times New Roman" w:hAnsi="Times New Roman" w:eastAsia="Times New Roman"/>
          <w:b/>
          <w:i w:val="0"/>
          <w:sz w:val="24"/>
        </w:rPr>
        <w:t>Data Availability</w:t>
      </w:r>
    </w:p>
    <w:p>
      <w:pPr>
        <w:spacing w:after="0" w:before="0" w:line="480" w:lineRule="auto"/>
        <w:jc w:val="both"/>
      </w:pPr>
      <w:r>
        <w:rPr>
          <w:rFonts w:ascii="Times New Roman" w:hAnsi="Times New Roman" w:eastAsia="Times New Roman"/>
          <w:b w:val="0"/>
          <w:i w:val="0"/>
          <w:sz w:val="22"/>
        </w:rPr>
        <w:t>All simulation output data, agent decision traces, and governance audit logs generated in this study are available at [repository URL to be added upon acceptance]. Raw CRSS demand data for the irrigation domain are publicly available from the US Bureau of Reclamation (https://www.usbr.gov/lc/region/g4000/NaturalFlow/). Flood depth grids were generated from publicly available FEMA flood maps. Census-tract demographic profiles were derived from the US Census Bureau American Community Survey.</w:t>
      </w:r>
    </w:p>
    <w:p>
      <w:pPr>
        <w:spacing w:after="120" w:before="360" w:line="480" w:lineRule="auto"/>
        <w:jc w:val="left"/>
      </w:pPr>
      <w:r>
        <w:rPr>
          <w:rFonts w:ascii="Times New Roman" w:hAnsi="Times New Roman" w:eastAsia="Times New Roman"/>
          <w:b/>
          <w:i w:val="0"/>
          <w:sz w:val="24"/>
        </w:rPr>
        <w:t>Code Availability</w:t>
      </w:r>
    </w:p>
    <w:p>
      <w:pPr>
        <w:spacing w:after="0" w:before="0" w:line="480" w:lineRule="auto"/>
        <w:jc w:val="both"/>
      </w:pPr>
      <w:r>
        <w:rPr>
          <w:rFonts w:ascii="Times New Roman" w:hAnsi="Times New Roman" w:eastAsia="Times New Roman"/>
          <w:b w:val="0"/>
          <w:i w:val="0"/>
          <w:sz w:val="22"/>
        </w:rPr>
        <w:t>The Water Agent Governance Framework (WAGF) source code, including the broker architecture, governance validators, configuration files for both domains, and all analysis scripts used to generate the figures and tables in this paper, is available at [repository URL to be added upon acceptance] under an MIT licence. Experiments were run using Ollama (v0.5.x) with open-weight models (Gemma-3 and Ministral families); no proprietary APIs were required.</w:t>
      </w:r>
    </w:p>
    <w:p>
      <w:pPr>
        <w:spacing w:after="120" w:before="360" w:line="480" w:lineRule="auto"/>
        <w:jc w:val="left"/>
      </w:pPr>
      <w:r>
        <w:rPr>
          <w:rFonts w:ascii="Times New Roman" w:hAnsi="Times New Roman" w:eastAsia="Times New Roman"/>
          <w:b/>
          <w:i w:val="0"/>
          <w:sz w:val="24"/>
        </w:rPr>
        <w:t>Author Contributions</w:t>
      </w:r>
    </w:p>
    <w:p>
      <w:pPr>
        <w:spacing w:after="0" w:before="0" w:line="480" w:lineRule="auto"/>
        <w:jc w:val="both"/>
      </w:pPr>
      <w:r>
        <w:rPr>
          <w:rFonts w:ascii="Times New Roman" w:hAnsi="Times New Roman" w:eastAsia="Times New Roman"/>
          <w:b w:val="0"/>
          <w:i w:val="0"/>
          <w:sz w:val="22"/>
        </w:rPr>
        <w:t>W.Y.: Conceptualization, Methodology, Software, Validation, Formal Analysis, Investigation, Data Curation, Writing — Original Draft, Visualization. [Additional authors TBD]: Supervision, Writing — Review &amp; Editing, Funding Acquisition.</w:t>
      </w:r>
    </w:p>
    <w:p>
      <w:pPr>
        <w:spacing w:after="120" w:before="360" w:line="480" w:lineRule="auto"/>
        <w:jc w:val="left"/>
      </w:pPr>
      <w:r>
        <w:rPr>
          <w:rFonts w:ascii="Times New Roman" w:hAnsi="Times New Roman" w:eastAsia="Times New Roman"/>
          <w:b/>
          <w:i w:val="0"/>
          <w:sz w:val="24"/>
        </w:rPr>
        <w:t>Competing Interests</w:t>
      </w:r>
    </w:p>
    <w:p>
      <w:pPr>
        <w:spacing w:after="0" w:before="0" w:line="480" w:lineRule="auto"/>
        <w:jc w:val="both"/>
      </w:pPr>
      <w:r>
        <w:rPr>
          <w:rFonts w:ascii="Times New Roman" w:hAnsi="Times New Roman" w:eastAsia="Times New Roman"/>
          <w:b w:val="0"/>
          <w:i w:val="0"/>
          <w:sz w:val="22"/>
        </w:rPr>
        <w:t>The authors declare no competing interests.</w:t>
      </w:r>
    </w:p>
    <w:p>
      <w:pPr>
        <w:spacing w:after="120" w:before="360" w:line="480" w:lineRule="auto"/>
        <w:jc w:val="left"/>
      </w:pPr>
      <w:r>
        <w:rPr>
          <w:rFonts w:ascii="Times New Roman" w:hAnsi="Times New Roman" w:eastAsia="Times New Roman"/>
          <w:b/>
          <w:i w:val="0"/>
          <w:sz w:val="24"/>
        </w:rPr>
        <w:t>Acknowledgements</w:t>
      </w:r>
    </w:p>
    <w:p>
      <w:pPr>
        <w:spacing w:after="0" w:before="0" w:line="480" w:lineRule="auto"/>
        <w:jc w:val="both"/>
      </w:pPr>
      <w:r>
        <w:rPr>
          <w:rFonts w:ascii="Times New Roman" w:hAnsi="Times New Roman" w:eastAsia="Times New Roman"/>
          <w:b w:val="0"/>
          <w:i w:val="0"/>
          <w:sz w:val="22"/>
        </w:rPr>
        <w:t>[To be added — funding sources, computational resources, etc.]</w:t>
      </w:r>
    </w:p>
    <w:sectPr w:rsidR="00FC693F" w:rsidRPr="0006063C" w:rsidSect="00034616">
      <w:footerReference w:type="default" r:id="rId12"/>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