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ns0:t>
      </ns0:r>
    </ns0:p>
    <ns0:p ns2:paraId="00DADB2F" ns2:textId="77777777" ns0:rsidR="00F803C3" ns0:rsidRDefault="00000000">
      <ns0:pPr>
        <ns0:spacing ns0:after="120" ns0:line="480" ns0:lineRule="auto"/>
        <ns0:ind ns0:firstLine="360"/>
        <ns0:jc ns0:val="both"/>
      </ns0:pPr>
      <ns0:r>
        <ns0: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sequence translates LLM proposals into executable actions under explicit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r>
        <ns0:t>This separation avoids conflating physically or institutionally infeasible behavior with boundedly rational but feasible behavior.</ns0:t>
      </ns0:r>
    </ns0:p>
    <ns0:p ns2:paraId="45B87EC9" ns2:textId="77777777" ns0:rsidR="00F803C3" ns0:rsidRDefault="00000000">
      <ns0:pPr>
        <ns0:spacing ns0:before="120" ns0:after="120" ns0:line="480" ns0:lineRule="auto"/>
        <ns0:jc ns0:val="center"/>
      </ns0:pPr>
      <ns0:r>
        <ns0:t>R_H = n_id / n_total          (1)</ns0:t>
      </ns0:r>
    </ns0:p>
    <ns0:p ns2:paraId="51E4AFA6" ns2:textId="77777777" ns0:rsidR="00F803C3" ns0:rsidRDefault="00000000">
      <ns0:pPr>
        <ns0:spacing ns0:after="120" ns0:line="480" ns0:lineRule="auto"/>
        <ns0:jc ns0:val="both"/>
      </ns0:pPr>
      <ns0:r>
        <ns0:t>R_R = n_think / n_total          (2)</ns0:t>
      </ns0:r>
    </ns0:p>
    <ns0:p ns2:paraId="4D3349D9" ns2:textId="77777777" ns0:rsidR="00F803C3" ns0:rsidRDefault="00000000">
      <ns0:pPr>
        <ns0:spacing ns0:before="120" ns0:after="120" ns0:line="480" ns0:lineRule="auto"/>
        <ns0:jc ns0:val="center"/>
      </ns0:pPr>
      <ns0:r>
        <ns0: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ns0:t>
      </ns0:r>
    </ns0:p>
    <ns0:p ns2:paraId="43A4DBCE" ns2:textId="77777777" ns0:rsidR="00F803C3" ns0:rsidRDefault="00000000">
      <ns0:pPr>
        <ns0:spacing ns0:after="120" ns0:line="480" ns0:lineRule="auto"/>
        <ns0:jc ns0:val="both"/>
      </ns0:pPr>
      <ns0:r>
        <ns0: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Feasibility Hallucination and Rationality Diagnostics</ns0:t>
      </ns0:r>
    </ns0:p>
    <ns0:p ns2:paraId="614B0196" ns2:textId="77777777" ns0:rsidR="00F803C3" ns0:rsidRDefault="00000000">
      <ns0:pPr>
        <ns0:spacing ns0:after="120" ns0:line="480" ns0:lineRule="auto"/>
        <ns0:ind ns0:firstLine="360"/>
        <ns0:jc ns0:val="both"/>
      </ns0:pPr>
      <ns0:r>
        <ns0: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ns0:t>
      </ns0:r>
    </ns0:p>
    <ns0:p ns2:paraId="1588D2D4" ns2:textId="77777777" ns0:rsidR="00F803C3" ns0:rsidRDefault="1937EF80">
      <ns0:pPr>
        <ns0:spacing ns0:after="120" ns0:line="480" ns0:lineRule="auto"/>
        <ns0:ind ns0:firstLine="360"/>
        <ns0:jc ns0:val="both"/>
      </ns0:pPr>
      <ns0:r>
        <ns0: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ns0:t>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ns0:t>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t>To demonstrate domain transferability, we apply WAGF to irrigation demand management in the Colorado River Basin without modifying broker architecture. We instantiate a domain configuration following Hung and Yang (2021): 78 irrigation districts mapped one-to-one to CRSS diversion nodes (56 Upper Basin, 22 Lower Basin), simulated over 42 years (2019-2060) with CRSS precipitation projections (USBR, 2012). Three behavioral clusters from Farmer Q-Learning calibration (Aggressive, Forward-Looking Conservative, Myopic Conservative) are mapped to LLM persona templates encoding risk attitude and demand-adjustment tendency (Yang et al., 2009; Hadjimichael et al., 2020). Across flood and irrigation, the framework changes only in YAML-level artifacts: skill definitions, validator rules, appraisal constructs, and persona templates.</ns0:t>
      </ns0:r>
    </ns0:p>
    <ns0:p ns2:paraId="5F65BAD8" ns2:textId="77777777" ns0:rsidR="CF7DCF98" ns0:rsidRDefault="CF7DCF98" ns0:rsidP="CF7DCF98">
      <ns0:pPr>
        <ns0:spacing ns0:after="120" ns0:line="480" ns0:lineRule="auto"/>
        <ns0:ind ns0:firstLine="360"/>
        <ns0:jc ns0:val="both"/>
      </ns0:pPr>
      <ns0:r>
        <ns0:t>The irrigation domain stresses capabilities not exercised in flood adaptation: cluster-specific magnitude caps (20%/15%/8%), Colorado River Compact-linked constraints (allocation limits and drought tiers), and a dual-appraisal scheme (Water Scarcity Assessment and Adaptive Capacity Assessment) replacing flood PMT constructs. The broker pipeline, retry-and-feedback mechanism, and audit trace structure remain unchanged.</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t>Figure 3 shows that WAGF-governed agents produce demand trajectories at realistic CRSS scales. Upper Basin agents request 39.7% above the CRSS static baseline, but curtailment reduces realised diversion to +28.8%; Lower Basin agents show +18.2% request versus +9.1% diversion. This request-diversion gap reflects institutional filtering of proposals (paper water vs wet water) through identity-rule feasibility constraints rather than hard-coded trajectories.</ns0:t>
      </ns0:r>
    </ns0:p>
    <ns0:p ns2:paraId="5DA1A643" ns2:textId="77777777" ns0:rsidR="CF7DCF98" ns0:rsidRDefault="CF7DCF98" ns0:rsidP="CF7DCF98">
      <ns0:pPr>
        <ns0:spacing ns0:after="120" ns0:line="480" ns0:lineRule="auto"/>
        <ns0:ind ns0:firstLine="360"/>
        <ns0:jc ns0:val="both"/>
      </ns0:pPr>
      <ns0:r>
        <ns0:t>The governance layer logs 526 interventions across 3,276 agent-year decisions (16.1%), with 173 successful retries and zero parsing failures, indicating transfer of the same broker retry-control loop used in flood experiments. Cluster differentiation remains visible in governed outcomes: Aggressive agents allocate 40.9% of decisions to increase_demand, Forward-Looking Conservative agents 78.6% to decrease_demand, and Myopic Conservative agents 80.2% to maintain_demand. These patterns remain qualitatively consistent with the original FQL cluster behavior (Hung and Yang, 2021, Figure 7) while being generated through language-model reasoning.</ns0:t>
      </ns0:r>
    </ns0:p>
    <ns0:p ns2:paraId="1D742DE9" ns2:textId="77777777" ns0:rsidR="CF7DCF98" ns0:rsidRDefault="CF7DCF98" ns0:rsidP="CF7DCF98">
      <ns0:pPr>
        <ns0:spacing ns0:after="120" ns0:line="480" ns0:lineRule="auto"/>
        <ns0:ind ns0:firstLine="360"/>
        <ns0:jc ns0:val="both"/>
      </ns0:pPr>
      <ns0:r>
        <ns0:t>The irrigation case highlights the same metric split used in Section 3. Infeasible proposals (e.g., violating minimum-utilisation or allocation-cap identity checks) contribute to feasibility hallucination rate R_H. Coherence failures that remain technically feasible are tracked as rationality deviation R_R via thinking-rule ERROR traces. This separation allows cross-domain comparison of governance performance without conflating infeasibility and bounded-rational behavior.</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ns0:t>
      </ns0:r>
    </ns0:p>
    <ns0:p ns2:paraId="19E8D2C6" ns2:textId="77777777" ns0:rsidR="00F803C3" ns0:rsidRDefault="00000000">
      <ns0:pPr>
        <ns0:spacing ns0:after="120" ns0:line="480" ns0:lineRule="auto"/>
        <ns0:ind ns0:firstLine="360"/>
        <ns0:jc ns0:val="both"/>
      </ns0:pPr>
      <ns0:r>
        <ns0: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ns0:t>
      </ns0:r>
    </ns0:p>
    <ns0:p ns2:paraId="13EAB3F9" ns2:textId="77777777" ns0:rsidR="00F803C3" ns0:rsidRDefault="9E21DE22">
      <ns0:pPr>
        <ns0:spacing ns0:after="120" ns0:line="480" ns0:lineRule="auto"/>
        <ns0:ind ns0:firstLine="360"/>
        <ns0:jc ns0:val="both"/>
      </ns0:pPr>
      <ns0:r>
        <ns0: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ns0:t>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