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Institutional Governance Enables Adaptive Strategy Diversity</w:t>
        <w:br/>
        <w:t>in Language-Based Water Resource Simulation</w:t>
      </w:r>
    </w:p>
    <w:p>
      <w:pPr>
        <w:jc w:val="center"/>
      </w:pPr>
      <w:r>
        <w:rPr>
          <w:sz w:val="22"/>
        </w:rPr>
        <w:t>[Authors]</w:t>
      </w:r>
    </w:p>
    <w:p/>
    <w:p>
      <w:pPr>
        <w:pStyle w:val="Heading1"/>
      </w:pPr>
      <w:r>
        <w:t>Abstract</w:t>
      </w:r>
    </w:p>
    <w:p>
      <w:pPr/>
      <w:r>
        <w:rPr>
          <w:b w:val="0"/>
          <w:i w:val="0"/>
        </w:rPr>
        <w:t>We propose a governance architecture that validates natural-language agent reasoning against modular physical and institutional rules. In a 42-year Colorado River irrigation simulation, governed agents extracted more water than ungoverned agents while maintaining drought responsiveness — adaptive exploitation consistent with prior-appropriation dynamics that parameterized models cannot represent. Institutional rules created feasibility boundaries within which agents developed differentiated strategies autonomously, producing higher strategy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across six model scales tested, and significant for five. Institutional boundaries widen adaptive capacity in ways that fixed decision rules cannot represent.</w:t>
      </w:r>
    </w:p>
    <w:p>
      <w:r>
        <w:br w:type="page"/>
      </w:r>
    </w:p>
    <w:p>
      <w:pPr>
        <w:pStyle w:val="Heading1"/>
      </w:pPr>
      <w:r>
        <w:t>Introduction</w:t>
      </w:r>
    </w:p>
    <w:p>
      <w:pPr/>
      <w:r>
        <w:rPr>
          <w:b w:val="0"/>
          <w:i w:val="0"/>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r>
        <w:rPr>
          <w:b w:val="0"/>
          <w:i w:val="0"/>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r>
        <w:rPr>
          <w:b w:val="0"/>
          <w:i w:val="0"/>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for Colorado River demand management. More recent approaches have introduced adaptive mechanisms — Bayesian belief updating, reinforcement learning policies (Castilla-Rho et al., 2017),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All agents within a given simulation follow the same cognitive model, differing only in parameter values — a structural rigidity that limits the representation of qualitatively different reasoning strategies within a single population.</w:t>
      </w:r>
    </w:p>
    <w:p>
      <w:pPr/>
      <w:r>
        <w:rPr>
          <w:b w:val="0"/>
          <w:i w:val="0"/>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(Gao et al., 2024). This body of work suggests that natural language may serve as a medium for representing the reasoning processes that numerical formats compress away.</w:t>
      </w:r>
    </w:p>
    <w:p>
      <w:pPr/>
      <w:r>
        <w:rPr>
          <w:b w:val="0"/>
          <w:i w:val="0"/>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r>
        <w:rPr>
          <w:b w:val="0"/>
          <w:i w:val="0"/>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r>
        <w:rPr>
          <w:b w:val="0"/>
          <w:i w:val="0"/>
        </w:rPr>
        <w:t>Here we test this hypothesis across two contrasting water domains: irrigation management in the Colorado River Basin (78 agents, 42 years, generating over 9,800 governed decisions across three seeds) and household flood adaptation (100 agents, 10 years, stochastic flood events, 3,000 governed decisions validated against empirical behavioural benchmarks). Governed agents exploit water more aggressively during abundance and curtail during drought — a pattern of adaptive exploitation that neither mathematical optimization nor rule-based agents can represent, and that requires institutional rules to emerge. Ungoverned agents collapse into repetitive demand patterns. This governance effect is positive for all six model scales tested (3B to 27B parameters, two model families), statistically significant for five, and persists among first-attempt proposals before any governance feedback.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r>
        <w:br w:type="page"/>
      </w:r>
    </w:p>
    <w:p>
      <w:pPr>
        <w:pStyle w:val="Heading1"/>
      </w:pPr>
      <w:r>
        <w:t>Results</w:t>
      </w:r>
    </w:p>
    <w:p>
      <w:pPr>
        <w:pStyle w:val="Heading2"/>
      </w:pPr>
      <w:r>
        <w:t>Institutional rules enable adaptive exploitation of water resources</w:t>
      </w:r>
    </w:p>
    <w:p>
      <w:pPr/>
      <w:r>
        <w:rPr>
          <w:b w:val="0"/>
          <w:i w:val="0"/>
        </w:rPr>
        <w:t>Governed agents extracted more water than ungoverned agents while maintaining stronger coupling between individual decisions and reservoir state (Table 1). Over 42 simulated years, governed agents achieved a mean demand ratio of 0.394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r>
        <w:rPr>
          <w:b w:val="0"/>
          <w:i w:val="0"/>
        </w:rPr>
        <w:t>This pattern — higher extraction during abundance, proportionate response to scarcity signals — is consistent with adaptive exploitation under prior-appropriation. In real Colorado River management, institutional rules (shortage tiers,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operating point upward without degrading drought responsiveness.</w:t>
      </w:r>
    </w:p>
    <w:p>
      <w:pPr/>
      <w:r>
        <w:rPr>
          <w:b w:val="0"/>
          <w:i w:val="0"/>
        </w:rPr>
        <w:t>Without governance, agents collapsed into monotonic demand-increase patterns, concentrating 77–82% of decisions on demand increases across all seeds. Their demand trajectories converged toward a code-level ceiling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r>
        <w:rPr>
          <w:b/>
          <w:sz w:val="20"/>
        </w:rPr>
        <w:t>Table 1. Water-system outcomes and strategy diversity across three governance conditions (irrigation domain, Gemma-3 4B, 78 agents × 42 years, 3 runs each).</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Metric</w:t>
            </w:r>
          </w:p>
        </w:tc>
        <w:tc>
          <w:tcPr>
            <w:tcW w:type="dxa" w:w="2160"/>
          </w:tcPr>
          <w:p>
            <w:r/>
            <w:r>
              <w:rPr>
                <w:rFonts w:ascii="Times New Roman" w:hAnsi="Times New Roman"/>
                <w:b/>
                <w:sz w:val="18"/>
              </w:rPr>
              <w:t>Governed</w:t>
            </w:r>
          </w:p>
        </w:tc>
        <w:tc>
          <w:tcPr>
            <w:tcW w:type="dxa" w:w="2160"/>
          </w:tcPr>
          <w:p>
            <w:r/>
            <w:r>
              <w:rPr>
                <w:rFonts w:ascii="Times New Roman" w:hAnsi="Times New Roman"/>
                <w:b/>
                <w:sz w:val="18"/>
              </w:rPr>
              <w:t>Ungoverned</w:t>
            </w:r>
          </w:p>
        </w:tc>
        <w:tc>
          <w:tcPr>
            <w:tcW w:type="dxa" w:w="2160"/>
          </w:tcPr>
          <w:p>
            <w:r/>
            <w:r>
              <w:rPr>
                <w:rFonts w:ascii="Times New Roman" w:hAnsi="Times New Roman"/>
                <w:b/>
                <w:sz w:val="18"/>
              </w:rPr>
              <w:t>A1 (No Ceiling)</w:t>
            </w:r>
          </w:p>
        </w:tc>
      </w:tr>
      <w:tr>
        <w:tc>
          <w:tcPr>
            <w:tcW w:type="dxa" w:w="2160"/>
          </w:tcPr>
          <w:p>
            <w:r/>
            <w:r>
              <w:rPr>
                <w:rFonts w:ascii="Times New Roman" w:hAnsi="Times New Roman"/>
                <w:sz w:val="18"/>
              </w:rPr>
              <w:t>Mean demand ratio</w:t>
            </w:r>
          </w:p>
        </w:tc>
        <w:tc>
          <w:tcPr>
            <w:tcW w:type="dxa" w:w="2160"/>
          </w:tcPr>
          <w:p>
            <w:r/>
            <w:r>
              <w:rPr>
                <w:rFonts w:ascii="Times New Roman" w:hAnsi="Times New Roman"/>
                <w:sz w:val="18"/>
              </w:rPr>
              <w:t>0.394 ± 0.004</w:t>
            </w:r>
          </w:p>
        </w:tc>
        <w:tc>
          <w:tcPr>
            <w:tcW w:type="dxa" w:w="2160"/>
          </w:tcPr>
          <w:p>
            <w:r/>
            <w:r>
              <w:rPr>
                <w:rFonts w:ascii="Times New Roman" w:hAnsi="Times New Roman"/>
                <w:sz w:val="18"/>
              </w:rPr>
              <w:t>0.288 ± 0.020</w:t>
            </w:r>
          </w:p>
        </w:tc>
        <w:tc>
          <w:tcPr>
            <w:tcW w:type="dxa" w:w="2160"/>
          </w:tcPr>
          <w:p>
            <w:r/>
            <w:r>
              <w:rPr>
                <w:rFonts w:ascii="Times New Roman" w:hAnsi="Times New Roman"/>
                <w:sz w:val="18"/>
              </w:rPr>
              <w:t>0.440 ± 0.012</w:t>
            </w:r>
          </w:p>
        </w:tc>
      </w:tr>
      <w:tr>
        <w:tc>
          <w:tcPr>
            <w:tcW w:type="dxa" w:w="2160"/>
          </w:tcPr>
          <w:p>
            <w:r/>
            <w:r>
              <w:rPr>
                <w:rFonts w:ascii="Times New Roman" w:hAnsi="Times New Roman"/>
                <w:sz w:val="18"/>
              </w:rPr>
              <w:t>42-yr mean Mead elevation (ft)</w:t>
            </w:r>
          </w:p>
        </w:tc>
        <w:tc>
          <w:tcPr>
            <w:tcW w:type="dxa" w:w="2160"/>
          </w:tcPr>
          <w:p>
            <w:r/>
            <w:r>
              <w:rPr>
                <w:rFonts w:ascii="Times New Roman" w:hAnsi="Times New Roman"/>
                <w:sz w:val="18"/>
              </w:rPr>
              <w:t>1,094</w:t>
            </w:r>
          </w:p>
        </w:tc>
        <w:tc>
          <w:tcPr>
            <w:tcW w:type="dxa" w:w="2160"/>
          </w:tcPr>
          <w:p>
            <w:r/>
            <w:r>
              <w:rPr>
                <w:rFonts w:ascii="Times New Roman" w:hAnsi="Times New Roman"/>
                <w:sz w:val="18"/>
              </w:rPr>
              <w:t>1,173</w:t>
            </w:r>
          </w:p>
        </w:tc>
        <w:tc>
          <w:tcPr>
            <w:tcW w:type="dxa" w:w="2160"/>
          </w:tcPr>
          <w:p>
            <w:r/>
            <w:r>
              <w:rPr>
                <w:rFonts w:ascii="Times New Roman" w:hAnsi="Times New Roman"/>
                <w:sz w:val="18"/>
              </w:rPr>
              <w:t>1,069</w:t>
            </w:r>
          </w:p>
        </w:tc>
      </w:tr>
      <w:tr>
        <w:tc>
          <w:tcPr>
            <w:tcW w:type="dxa" w:w="2160"/>
          </w:tcPr>
          <w:p>
            <w:r/>
            <w:r>
              <w:rPr>
                <w:rFonts w:ascii="Times New Roman" w:hAnsi="Times New Roman"/>
                <w:sz w:val="18"/>
              </w:rPr>
              <w:t>Demand–Mead coupling (r)</w:t>
            </w:r>
          </w:p>
        </w:tc>
        <w:tc>
          <w:tcPr>
            <w:tcW w:type="dxa" w:w="2160"/>
          </w:tcPr>
          <w:p>
            <w:r/>
            <w:r>
              <w:rPr>
                <w:rFonts w:ascii="Times New Roman" w:hAnsi="Times New Roman"/>
                <w:sz w:val="18"/>
              </w:rPr>
              <w:t>0.547 ± 0.083</w:t>
            </w:r>
          </w:p>
        </w:tc>
        <w:tc>
          <w:tcPr>
            <w:tcW w:type="dxa" w:w="2160"/>
          </w:tcPr>
          <w:p>
            <w:r/>
            <w:r>
              <w:rPr>
                <w:rFonts w:ascii="Times New Roman" w:hAnsi="Times New Roman"/>
                <w:sz w:val="18"/>
              </w:rPr>
              <w:t>0.378 ± 0.081</w:t>
            </w:r>
          </w:p>
        </w:tc>
        <w:tc>
          <w:tcPr>
            <w:tcW w:type="dxa" w:w="2160"/>
          </w:tcPr>
          <w:p>
            <w:r/>
            <w:r>
              <w:rPr>
                <w:rFonts w:ascii="Times New Roman" w:hAnsi="Times New Roman"/>
                <w:sz w:val="18"/>
              </w:rPr>
              <w:t>0.234 ± 0.127</w:t>
            </w:r>
          </w:p>
        </w:tc>
      </w:tr>
      <w:tr>
        <w:tc>
          <w:tcPr>
            <w:tcW w:type="dxa" w:w="2160"/>
          </w:tcPr>
          <w:p>
            <w:r/>
            <w:r>
              <w:rPr>
                <w:rFonts w:ascii="Times New Roman" w:hAnsi="Times New Roman"/>
                <w:sz w:val="18"/>
              </w:rPr>
              <w:t>Shortage years (/42)</w:t>
            </w:r>
          </w:p>
        </w:tc>
        <w:tc>
          <w:tcPr>
            <w:tcW w:type="dxa" w:w="2160"/>
          </w:tcPr>
          <w:p>
            <w:r/>
            <w:r>
              <w:rPr>
                <w:rFonts w:ascii="Times New Roman" w:hAnsi="Times New Roman"/>
                <w:sz w:val="18"/>
              </w:rPr>
              <w:t>13.3 ± 1.5</w:t>
            </w:r>
          </w:p>
        </w:tc>
        <w:tc>
          <w:tcPr>
            <w:tcW w:type="dxa" w:w="2160"/>
          </w:tcPr>
          <w:p>
            <w:r/>
            <w:r>
              <w:rPr>
                <w:rFonts w:ascii="Times New Roman" w:hAnsi="Times New Roman"/>
                <w:sz w:val="18"/>
              </w:rPr>
              <w:t>5.0 ± 1.7</w:t>
            </w:r>
          </w:p>
        </w:tc>
        <w:tc>
          <w:tcPr>
            <w:tcW w:type="dxa" w:w="2160"/>
          </w:tcPr>
          <w:p>
            <w:r/>
            <w:r>
              <w:rPr>
                <w:rFonts w:ascii="Times New Roman" w:hAnsi="Times New Roman"/>
                <w:sz w:val="18"/>
              </w:rPr>
              <w:t>25.3 ± 1.5</w:t>
            </w:r>
          </w:p>
        </w:tc>
      </w:tr>
      <w:tr>
        <w:tc>
          <w:tcPr>
            <w:tcW w:type="dxa" w:w="2160"/>
          </w:tcPr>
          <w:p>
            <w:r/>
            <w:r>
              <w:rPr>
                <w:rFonts w:ascii="Times New Roman" w:hAnsi="Times New Roman"/>
                <w:sz w:val="18"/>
              </w:rPr>
              <w:t>Min Mead elevation (ft)</w:t>
            </w:r>
          </w:p>
        </w:tc>
        <w:tc>
          <w:tcPr>
            <w:tcW w:type="dxa" w:w="2160"/>
          </w:tcPr>
          <w:p>
            <w:r/>
            <w:r>
              <w:rPr>
                <w:rFonts w:ascii="Times New Roman" w:hAnsi="Times New Roman"/>
                <w:sz w:val="18"/>
              </w:rPr>
              <w:t>1,002 ± 1</w:t>
            </w:r>
          </w:p>
        </w:tc>
        <w:tc>
          <w:tcPr>
            <w:tcW w:type="dxa" w:w="2160"/>
          </w:tcPr>
          <w:p>
            <w:r/>
            <w:r>
              <w:rPr>
                <w:rFonts w:ascii="Times New Roman" w:hAnsi="Times New Roman"/>
                <w:sz w:val="18"/>
              </w:rPr>
              <w:t>1,001 ± 0.4</w:t>
            </w:r>
          </w:p>
        </w:tc>
        <w:tc>
          <w:tcPr>
            <w:tcW w:type="dxa" w:w="2160"/>
          </w:tcPr>
          <w:p>
            <w:r/>
            <w:r>
              <w:rPr>
                <w:rFonts w:ascii="Times New Roman" w:hAnsi="Times New Roman"/>
                <w:sz w:val="18"/>
              </w:rPr>
              <w:t>984 ± 11</w:t>
            </w:r>
          </w:p>
        </w:tc>
      </w:tr>
      <w:tr>
        <w:tc>
          <w:tcPr>
            <w:tcW w:type="dxa" w:w="2160"/>
          </w:tcPr>
          <w:p>
            <w:r/>
            <w:r>
              <w:rPr>
                <w:rFonts w:ascii="Times New Roman" w:hAnsi="Times New Roman"/>
                <w:sz w:val="18"/>
              </w:rPr>
              <w:t>Strategy diversity (EHE)</w:t>
            </w:r>
          </w:p>
        </w:tc>
        <w:tc>
          <w:tcPr>
            <w:tcW w:type="dxa" w:w="2160"/>
          </w:tcPr>
          <w:p>
            <w:r/>
            <w:r>
              <w:rPr>
                <w:rFonts w:ascii="Times New Roman" w:hAnsi="Times New Roman"/>
                <w:sz w:val="18"/>
              </w:rPr>
              <w:t>0.738 ± 0.017</w:t>
            </w:r>
          </w:p>
        </w:tc>
        <w:tc>
          <w:tcPr>
            <w:tcW w:type="dxa" w:w="2160"/>
          </w:tcPr>
          <w:p>
            <w:r/>
            <w:r>
              <w:rPr>
                <w:rFonts w:ascii="Times New Roman" w:hAnsi="Times New Roman"/>
                <w:sz w:val="18"/>
              </w:rPr>
              <w:t>0.637 ± 0.017</w:t>
            </w:r>
          </w:p>
        </w:tc>
        <w:tc>
          <w:tcPr>
            <w:tcW w:type="dxa" w:w="2160"/>
          </w:tcPr>
          <w:p>
            <w:r/>
            <w:r>
              <w:rPr>
                <w:rFonts w:ascii="Times New Roman" w:hAnsi="Times New Roman"/>
                <w:sz w:val="18"/>
              </w:rPr>
              <w:t>0.793 ± 0.002</w:t>
            </w:r>
          </w:p>
        </w:tc>
      </w:tr>
      <w:tr>
        <w:tc>
          <w:tcPr>
            <w:tcW w:type="dxa" w:w="2160"/>
          </w:tcPr>
          <w:p>
            <w:r/>
            <w:r>
              <w:rPr>
                <w:rFonts w:ascii="Times New Roman" w:hAnsi="Times New Roman"/>
                <w:sz w:val="18"/>
              </w:rPr>
              <w:t>Behavioural Rationality (BRI, %)</w:t>
            </w:r>
          </w:p>
        </w:tc>
        <w:tc>
          <w:tcPr>
            <w:tcW w:type="dxa" w:w="2160"/>
          </w:tcPr>
          <w:p>
            <w:r/>
            <w:r>
              <w:rPr>
                <w:rFonts w:ascii="Times New Roman" w:hAnsi="Times New Roman"/>
                <w:sz w:val="18"/>
              </w:rPr>
              <w:t>58.0</w:t>
            </w:r>
          </w:p>
        </w:tc>
        <w:tc>
          <w:tcPr>
            <w:tcW w:type="dxa" w:w="2160"/>
          </w:tcPr>
          <w:p>
            <w:r/>
            <w:r>
              <w:rPr>
                <w:rFonts w:ascii="Times New Roman" w:hAnsi="Times New Roman"/>
                <w:sz w:val="18"/>
              </w:rPr>
              <w:t>9.4</w:t>
            </w:r>
          </w:p>
        </w:tc>
        <w:tc>
          <w:tcPr>
            <w:tcW w:type="dxa" w:w="2160"/>
          </w:tcPr>
          <w:p>
            <w:r/>
            <w:r>
              <w:rPr>
                <w:rFonts w:ascii="Times New Roman" w:hAnsi="Times New Roman"/>
                <w:sz w:val="18"/>
              </w:rPr>
              <w:t>—</w:t>
            </w:r>
          </w:p>
        </w:tc>
      </w:tr>
    </w:tbl>
    <w:p>
      <w:r>
        <w:rPr>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EHE = Effective Heterogeneity Entropy (normalized Shannon entropy over 5 action types; see Methods). BRI = fraction of high-scarcity decisions where agents did not increase demand (null expectation under uniform random = 60%). A1 removes the demand ceiling stabilizer only (see next section). See Supplementary Table S6 for additional water-system metrics.</w:t>
      </w:r>
    </w:p>
    <w:p/>
    <w:p>
      <w:pPr>
        <w:pStyle w:val="Heading2"/>
      </w:pPr>
      <w:r>
        <w:t>A single institutional rule couples individual decisions to basin-wide drought</w:t>
      </w:r>
    </w:p>
    <w:p>
      <w:pPr/>
      <w:r>
        <w:rPr>
          <w:b w:val="0"/>
          <w:i w:val="0"/>
        </w:rPr>
        <w:t>To identify which institutional rules create the coupling between individual decisions and reservoir state, we removed a single validator — the demand ceiling stabilizer, which blocks demand-increase proposals when aggregate basin demand exceeds 6.0 million acre-feet (MAF) — while retaining all eleven other validators (condition A1; see Methods).</w:t>
      </w:r>
    </w:p>
    <w:p>
      <w:pPr/>
      <w:r>
        <w:rPr>
          <w:b w:val="0"/>
          <w:i w:val="0"/>
        </w:rPr>
        <w:t>Removing this one rule of twelve collapsed demand–Mead coupling from r = 0.547 to 0.234, nearly doubled shortage years from 13.3 to 25.3, and dropped minimum Mead elevation to 984 ft below the Tier 3 shortage threshold (Table 1, A1 column). Yet removing the ceiling increased strategy diversity: EHE rose from 0.738 to 0.793. Agents diversified further — but into extraction patterns decoupled from drought signals, producing higher demand ratios (0.440 versus 0.394) with weaker environmental responsiveness.</w:t>
      </w:r>
    </w:p>
    <w:p>
      <w:pPr/>
      <w:r>
        <w:rPr>
          <w:b w:val="0"/>
          <w:i w:val="0"/>
        </w:rPr>
        <w:t>This establishes a distinction central to interpreting the governance effect: between diversity (a wider action distribution) and adaptive diversity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r>
        <w:rPr>
          <w:b w:val="0"/>
          <w:i w:val="0"/>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pStyle w:val="Heading2"/>
      </w:pPr>
      <w:r>
        <w:t>Governance generates strategy diversity beyond what hand-coded models can represent</w:t>
      </w:r>
    </w:p>
    <w:p>
      <w:pPr/>
      <w:r>
        <w:rPr>
          <w:b w:val="0"/>
          <w:i w:val="0"/>
        </w:rPr>
        <w:t>Governed agents exhibited higher strategy diversity than both ungoverned agents and a hand-coded Protection Motivation Theory baseline across both water domains. In irrigation, governed EHE (0.738 ± 0.017) exceeded ungoverned (0.637 ± 0.017) with zero distributional overlap across three seeds (Table 1). In flood adaptation, the ordering was consistent: governed language agents (0.752 ± 0.052) exceeded rule-based PMT agents (0.689 ± 0.001), which exceeded ungoverned language agents (0.337 ± 0.064; Table 2). Ungoverned agents collapsed into behavioural monoculture: 77–82% demand increases in irrigation, 85.9% inaction in flood.</w:t>
      </w:r>
    </w:p>
    <w:p>
      <w:pPr/>
      <w:r>
        <w:rPr>
          <w:b w:val="0"/>
          <w:i w:val="0"/>
        </w:rPr>
        <w:t>This diversity is generated by agents reasoning within governance, not filtered into existence by validators. Proposals submitted before any governance feedback already showed higher diversity (first-attempt EHE 0.761 governed versus 0.640 ungoverned; irrigation domain), confirming that the governance context shapes the reasoning process, rather than diversity being created post hoc by the rejection-retry mechanism (see Supplementary Information for retry statistics).</w:t>
      </w:r>
    </w:p>
    <w:p>
      <w:pPr/>
      <w:r>
        <w:rPr>
          <w:b w:val="0"/>
          <w:i w:val="0"/>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Under identical physical conditions (same year, same shortage tier, same reservoir elevation), four governed agents selected four different skills through distinct cognitive frames: opportunity-seeking under self-assessed confidence, reflective learning from consolidated memory of past failure, tradition-anchored inertia despite the agent’s own memory advising otherwise, and social responsibility referencing neighbour dependence (Supplementary Tables S2–S4 present full reasoning traces and a taxonomy of 10 distinct cognitive frames). This is not a marginal improvement in the same representational format; it is a shift from parameterized homogeneity to reasoning-generated heterogeneity.</w:t>
      </w:r>
    </w:p>
    <w:p>
      <w:r>
        <w:rPr>
          <w:b/>
          <w:sz w:val="20"/>
        </w:rPr>
        <w:t>Table 2. Strategy diversity: governed LLM vs rule-based PMT vs ungoverned LLM (flood domain, Gemma-3 4B, 100 agents × 10 years, 3 runs each).</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Condition</w:t>
            </w:r>
          </w:p>
        </w:tc>
        <w:tc>
          <w:tcPr>
            <w:tcW w:type="dxa" w:w="1234"/>
          </w:tcPr>
          <w:p>
            <w:r/>
            <w:r>
              <w:rPr>
                <w:rFonts w:ascii="Times New Roman" w:hAnsi="Times New Roman"/>
                <w:b/>
                <w:sz w:val="18"/>
              </w:rPr>
              <w:t>EHE</w:t>
            </w:r>
          </w:p>
        </w:tc>
        <w:tc>
          <w:tcPr>
            <w:tcW w:type="dxa" w:w="1234"/>
          </w:tcPr>
          <w:p>
            <w:r/>
            <w:r>
              <w:rPr>
                <w:rFonts w:ascii="Times New Roman" w:hAnsi="Times New Roman"/>
                <w:b/>
                <w:sz w:val="18"/>
              </w:rPr>
              <w:t>CACR (%)</w:t>
            </w:r>
          </w:p>
        </w:tc>
        <w:tc>
          <w:tcPr>
            <w:tcW w:type="dxa" w:w="1234"/>
          </w:tcPr>
          <w:p>
            <w:r/>
            <w:r>
              <w:rPr>
                <w:rFonts w:ascii="Times New Roman" w:hAnsi="Times New Roman"/>
                <w:b/>
                <w:sz w:val="18"/>
              </w:rPr>
              <w:t>do_nothing (%)</w:t>
            </w:r>
          </w:p>
        </w:tc>
        <w:tc>
          <w:tcPr>
            <w:tcW w:type="dxa" w:w="1234"/>
          </w:tcPr>
          <w:p>
            <w:r/>
            <w:r>
              <w:rPr>
                <w:rFonts w:ascii="Times New Roman" w:hAnsi="Times New Roman"/>
                <w:b/>
                <w:sz w:val="18"/>
              </w:rPr>
              <w:t>insurance (%)</w:t>
            </w:r>
          </w:p>
        </w:tc>
        <w:tc>
          <w:tcPr>
            <w:tcW w:type="dxa" w:w="1234"/>
          </w:tcPr>
          <w:p>
            <w:r/>
            <w:r>
              <w:rPr>
                <w:rFonts w:ascii="Times New Roman" w:hAnsi="Times New Roman"/>
                <w:b/>
                <w:sz w:val="18"/>
              </w:rPr>
              <w:t>elevation (%)</w:t>
            </w:r>
          </w:p>
        </w:tc>
        <w:tc>
          <w:tcPr>
            <w:tcW w:type="dxa" w:w="1234"/>
          </w:tcPr>
          <w:p>
            <w:r/>
            <w:r>
              <w:rPr>
                <w:rFonts w:ascii="Times New Roman" w:hAnsi="Times New Roman"/>
                <w:b/>
                <w:sz w:val="18"/>
              </w:rPr>
              <w:t>relocation (%)</w:t>
            </w:r>
          </w:p>
        </w:tc>
      </w:tr>
      <w:tr>
        <w:tc>
          <w:tcPr>
            <w:tcW w:type="dxa" w:w="1234"/>
          </w:tcPr>
          <w:p>
            <w:r/>
            <w:r>
              <w:rPr>
                <w:rFonts w:ascii="Times New Roman" w:hAnsi="Times New Roman"/>
                <w:sz w:val="18"/>
              </w:rPr>
              <w:t>Governed LLM</w:t>
            </w:r>
          </w:p>
        </w:tc>
        <w:tc>
          <w:tcPr>
            <w:tcW w:type="dxa" w:w="1234"/>
          </w:tcPr>
          <w:p>
            <w:r/>
            <w:r>
              <w:rPr>
                <w:rFonts w:ascii="Times New Roman" w:hAnsi="Times New Roman"/>
                <w:sz w:val="18"/>
              </w:rPr>
              <w:t>0.752 ± 0.052</w:t>
            </w:r>
          </w:p>
        </w:tc>
        <w:tc>
          <w:tcPr>
            <w:tcW w:type="dxa" w:w="1234"/>
          </w:tcPr>
          <w:p>
            <w:r/>
            <w:r>
              <w:rPr>
                <w:rFonts w:ascii="Times New Roman" w:hAnsi="Times New Roman"/>
                <w:sz w:val="18"/>
              </w:rPr>
              <w:t>100.0</w:t>
            </w:r>
          </w:p>
        </w:tc>
        <w:tc>
          <w:tcPr>
            <w:tcW w:type="dxa" w:w="1234"/>
          </w:tcPr>
          <w:p>
            <w:r/>
            <w:r>
              <w:rPr>
                <w:rFonts w:ascii="Times New Roman" w:hAnsi="Times New Roman"/>
                <w:sz w:val="18"/>
              </w:rPr>
              <w:t>35.6</w:t>
            </w:r>
          </w:p>
        </w:tc>
        <w:tc>
          <w:tcPr>
            <w:tcW w:type="dxa" w:w="1234"/>
          </w:tcPr>
          <w:p>
            <w:r/>
            <w:r>
              <w:rPr>
                <w:rFonts w:ascii="Times New Roman" w:hAnsi="Times New Roman"/>
                <w:sz w:val="18"/>
              </w:rPr>
              <w:t>50.7</w:t>
            </w:r>
          </w:p>
        </w:tc>
        <w:tc>
          <w:tcPr>
            <w:tcW w:type="dxa" w:w="1234"/>
          </w:tcPr>
          <w:p>
            <w:r/>
            <w:r>
              <w:rPr>
                <w:rFonts w:ascii="Times New Roman" w:hAnsi="Times New Roman"/>
                <w:sz w:val="18"/>
              </w:rPr>
              <w:t>10.6</w:t>
            </w:r>
          </w:p>
        </w:tc>
        <w:tc>
          <w:tcPr>
            <w:tcW w:type="dxa" w:w="1234"/>
          </w:tcPr>
          <w:p>
            <w:r/>
            <w:r>
              <w:rPr>
                <w:rFonts w:ascii="Times New Roman" w:hAnsi="Times New Roman"/>
                <w:sz w:val="18"/>
              </w:rPr>
              <w:t>3.0</w:t>
            </w:r>
          </w:p>
        </w:tc>
      </w:tr>
      <w:tr>
        <w:tc>
          <w:tcPr>
            <w:tcW w:type="dxa" w:w="1234"/>
          </w:tcPr>
          <w:p>
            <w:r/>
            <w:r>
              <w:rPr>
                <w:rFonts w:ascii="Times New Roman" w:hAnsi="Times New Roman"/>
                <w:sz w:val="18"/>
              </w:rPr>
              <w:t>Rule-based PMT</w:t>
            </w:r>
          </w:p>
        </w:tc>
        <w:tc>
          <w:tcPr>
            <w:tcW w:type="dxa" w:w="1234"/>
          </w:tcPr>
          <w:p>
            <w:r/>
            <w:r>
              <w:rPr>
                <w:rFonts w:ascii="Times New Roman" w:hAnsi="Times New Roman"/>
                <w:sz w:val="18"/>
              </w:rPr>
              <w:t>0.689 ± 0.001</w:t>
            </w:r>
          </w:p>
        </w:tc>
        <w:tc>
          <w:tcPr>
            <w:tcW w:type="dxa" w:w="1234"/>
          </w:tcPr>
          <w:p>
            <w:r/>
            <w:r>
              <w:rPr>
                <w:rFonts w:ascii="Times New Roman" w:hAnsi="Times New Roman"/>
                <w:sz w:val="18"/>
              </w:rPr>
              <w:t>100.0</w:t>
            </w:r>
          </w:p>
        </w:tc>
        <w:tc>
          <w:tcPr>
            <w:tcW w:type="dxa" w:w="1234"/>
          </w:tcPr>
          <w:p>
            <w:r/>
            <w:r>
              <w:rPr>
                <w:rFonts w:ascii="Times New Roman" w:hAnsi="Times New Roman"/>
                <w:sz w:val="18"/>
              </w:rPr>
              <w:t>10.6</w:t>
            </w:r>
          </w:p>
        </w:tc>
        <w:tc>
          <w:tcPr>
            <w:tcW w:type="dxa" w:w="1234"/>
          </w:tcPr>
          <w:p>
            <w:r/>
            <w:r>
              <w:rPr>
                <w:rFonts w:ascii="Times New Roman" w:hAnsi="Times New Roman"/>
                <w:sz w:val="18"/>
              </w:rPr>
              <w:t>49.1</w:t>
            </w:r>
          </w:p>
        </w:tc>
        <w:tc>
          <w:tcPr>
            <w:tcW w:type="dxa" w:w="1234"/>
          </w:tcPr>
          <w:p>
            <w:r/>
            <w:r>
              <w:rPr>
                <w:rFonts w:ascii="Times New Roman" w:hAnsi="Times New Roman"/>
                <w:sz w:val="18"/>
              </w:rPr>
              <w:t>40.2</w:t>
            </w:r>
          </w:p>
        </w:tc>
        <w:tc>
          <w:tcPr>
            <w:tcW w:type="dxa" w:w="1234"/>
          </w:tcPr>
          <w:p>
            <w:r/>
            <w:r>
              <w:rPr>
                <w:rFonts w:ascii="Times New Roman" w:hAnsi="Times New Roman"/>
                <w:sz w:val="18"/>
              </w:rPr>
              <w:t>0.1</w:t>
            </w:r>
          </w:p>
        </w:tc>
      </w:tr>
      <w:tr>
        <w:tc>
          <w:tcPr>
            <w:tcW w:type="dxa" w:w="1234"/>
          </w:tcPr>
          <w:p>
            <w:r/>
            <w:r>
              <w:rPr>
                <w:rFonts w:ascii="Times New Roman" w:hAnsi="Times New Roman"/>
                <w:sz w:val="18"/>
              </w:rPr>
              <w:t>Ungoverned LLM</w:t>
            </w:r>
          </w:p>
        </w:tc>
        <w:tc>
          <w:tcPr>
            <w:tcW w:type="dxa" w:w="1234"/>
          </w:tcPr>
          <w:p>
            <w:r/>
            <w:r>
              <w:rPr>
                <w:rFonts w:ascii="Times New Roman" w:hAnsi="Times New Roman"/>
                <w:sz w:val="18"/>
              </w:rPr>
              <w:t>0.337 ± 0.064</w:t>
            </w:r>
          </w:p>
        </w:tc>
        <w:tc>
          <w:tcPr>
            <w:tcW w:type="dxa" w:w="1234"/>
          </w:tcPr>
          <w:p>
            <w:r/>
            <w:r>
              <w:rPr>
                <w:rFonts w:ascii="Times New Roman" w:hAnsi="Times New Roman"/>
                <w:sz w:val="18"/>
              </w:rPr>
              <w:t>85.5</w:t>
            </w:r>
          </w:p>
        </w:tc>
        <w:tc>
          <w:tcPr>
            <w:tcW w:type="dxa" w:w="1234"/>
          </w:tcPr>
          <w:p>
            <w:r/>
            <w:r>
              <w:rPr>
                <w:rFonts w:ascii="Times New Roman" w:hAnsi="Times New Roman"/>
                <w:sz w:val="18"/>
              </w:rPr>
              <w:t>85.9</w:t>
            </w:r>
          </w:p>
        </w:tc>
        <w:tc>
          <w:tcPr>
            <w:tcW w:type="dxa" w:w="1234"/>
          </w:tcPr>
          <w:p>
            <w:r/>
            <w:r>
              <w:rPr>
                <w:rFonts w:ascii="Times New Roman" w:hAnsi="Times New Roman"/>
                <w:sz w:val="18"/>
              </w:rPr>
              <w:t>11.7</w:t>
            </w:r>
          </w:p>
        </w:tc>
        <w:tc>
          <w:tcPr>
            <w:tcW w:type="dxa" w:w="1234"/>
          </w:tcPr>
          <w:p>
            <w:r/>
            <w:r>
              <w:rPr>
                <w:rFonts w:ascii="Times New Roman" w:hAnsi="Times New Roman"/>
                <w:sz w:val="18"/>
              </w:rPr>
              <w:t>2.3</w:t>
            </w:r>
          </w:p>
        </w:tc>
        <w:tc>
          <w:tcPr>
            <w:tcW w:type="dxa" w:w="1234"/>
          </w:tcPr>
          <w:p>
            <w:r/>
            <w:r>
              <w:rPr>
                <w:rFonts w:ascii="Times New Roman" w:hAnsi="Times New Roman"/>
                <w:sz w:val="18"/>
              </w:rPr>
              <w:t>0.0</w:t>
            </w:r>
          </w:p>
        </w:tc>
      </w:tr>
    </w:tbl>
    <w:p>
      <w:r>
        <w:rPr>
          <w:i/>
          <w:sz w:val="18"/>
        </w:rPr>
        <w:t>EHE computed from annual action selections. CACR = Construct-Action Coherence Rate: fraction of decisions where the agent’s stated risk assessment is consistent with its chosen action (see Methods; operationalized differently from the irrigation-domain BRI in Table 1). Rule-based agent uses deterministic PMT threshold logic with parameterized agent heterogeneity; composite recommendations (simultaneous insurance + elevation) split into constituents for EHE computation (see Methods).</w:t>
      </w:r>
    </w:p>
    <w:p/>
    <w:p>
      <w:pPr>
        <w:pStyle w:val="Heading2"/>
      </w:pPr>
      <w:r>
        <w:t>The governance effect generalizes across water hazard types and model architectures</w:t>
      </w:r>
    </w:p>
    <w:p>
      <w:pPr/>
      <w:r>
        <w:rPr>
          <w:b w:val="0"/>
          <w:i w:val="0"/>
        </w:rPr>
        <w:t>The governance mechanism that produces adaptive exploitation in chronic drought also generates higher strategy diversity under acute flood hazard. In the flood domain, 100 household agents made protective decisions (insurance, elevation, relocation, or inaction) over 10 years with stochastic flood events — a fundamentally different water context from continuous irrigation allocation. Governance eliminated reasoning-action mismatches entirely (0.0% across all models versus 0.1–62.3% ungoverned).</w:t>
      </w:r>
    </w:p>
    <w:p>
      <w:pPr/>
      <w:r>
        <w:rPr>
          <w:b w:val="0"/>
          <w:i w:val="0"/>
        </w:rPr>
        <w:t>Six models spanning two families and three parameter scales all showed positive governance effects on strategy diversity, five statistically significant (Table 3). The effect was strongest where ungoverned agents exhibited behavioural monoculture: Gemma-3 4B (delta = +0.415) and Ministral 3B (+0.302). Only Gemma-3 12B produced a non-significant effect (+0.012), reflecting strong instruction-tuned priors at this scale (see SI for discussion).</w:t>
      </w:r>
    </w:p>
    <w:p>
      <w:r>
        <w:rPr>
          <w:b/>
          <w:sz w:val="20"/>
        </w:rPr>
        <w:t>Table 3. Governance effect on strategy diversity across six language models (flood domain, 100 agents × 10 years, 3 runs per condition).</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8"/>
              </w:rPr>
              <w:t>Model</w:t>
            </w:r>
          </w:p>
        </w:tc>
        <w:tc>
          <w:tcPr>
            <w:tcW w:type="dxa" w:w="1728"/>
          </w:tcPr>
          <w:p>
            <w:r/>
            <w:r>
              <w:rPr>
                <w:rFonts w:ascii="Times New Roman" w:hAnsi="Times New Roman"/>
                <w:b/>
                <w:sz w:val="18"/>
              </w:rPr>
              <w:t>Ungoverned EHE</w:t>
            </w:r>
          </w:p>
        </w:tc>
        <w:tc>
          <w:tcPr>
            <w:tcW w:type="dxa" w:w="1728"/>
          </w:tcPr>
          <w:p>
            <w:r/>
            <w:r>
              <w:rPr>
                <w:rFonts w:ascii="Times New Roman" w:hAnsi="Times New Roman"/>
                <w:b/>
                <w:sz w:val="18"/>
              </w:rPr>
              <w:t>Governed EHE</w:t>
            </w:r>
          </w:p>
        </w:tc>
        <w:tc>
          <w:tcPr>
            <w:tcW w:type="dxa" w:w="1728"/>
          </w:tcPr>
          <w:p>
            <w:r/>
            <w:r>
              <w:rPr>
                <w:rFonts w:ascii="Times New Roman" w:hAnsi="Times New Roman"/>
                <w:b/>
                <w:sz w:val="18"/>
              </w:rPr>
              <w:t>Delta</w:t>
            </w:r>
          </w:p>
        </w:tc>
        <w:tc>
          <w:tcPr>
            <w:tcW w:type="dxa" w:w="1728"/>
          </w:tcPr>
          <w:p>
            <w:r/>
            <w:r>
              <w:rPr>
                <w:rFonts w:ascii="Times New Roman" w:hAnsi="Times New Roman"/>
                <w:b/>
                <w:sz w:val="18"/>
              </w:rPr>
              <w:t>95% CI</w:t>
            </w:r>
          </w:p>
        </w:tc>
      </w:tr>
      <w:tr>
        <w:tc>
          <w:tcPr>
            <w:tcW w:type="dxa" w:w="1728"/>
          </w:tcPr>
          <w:p>
            <w:r/>
            <w:r>
              <w:rPr>
                <w:rFonts w:ascii="Times New Roman" w:hAnsi="Times New Roman"/>
                <w:sz w:val="18"/>
              </w:rPr>
              <w:t>Gemma-3 4B</w:t>
            </w:r>
          </w:p>
        </w:tc>
        <w:tc>
          <w:tcPr>
            <w:tcW w:type="dxa" w:w="1728"/>
          </w:tcPr>
          <w:p>
            <w:r/>
            <w:r>
              <w:rPr>
                <w:rFonts w:ascii="Times New Roman" w:hAnsi="Times New Roman"/>
                <w:sz w:val="18"/>
              </w:rPr>
              <w:t>0.337 ± 0.064</w:t>
            </w:r>
          </w:p>
        </w:tc>
        <w:tc>
          <w:tcPr>
            <w:tcW w:type="dxa" w:w="1728"/>
          </w:tcPr>
          <w:p>
            <w:r/>
            <w:r>
              <w:rPr>
                <w:rFonts w:ascii="Times New Roman" w:hAnsi="Times New Roman"/>
                <w:sz w:val="18"/>
              </w:rPr>
              <w:t>0.752 ± 0.052</w:t>
            </w:r>
          </w:p>
        </w:tc>
        <w:tc>
          <w:tcPr>
            <w:tcW w:type="dxa" w:w="1728"/>
          </w:tcPr>
          <w:p>
            <w:r/>
            <w:r>
              <w:rPr>
                <w:rFonts w:ascii="Times New Roman" w:hAnsi="Times New Roman"/>
                <w:sz w:val="18"/>
              </w:rPr>
              <w:t>+0.415</w:t>
            </w:r>
          </w:p>
        </w:tc>
        <w:tc>
          <w:tcPr>
            <w:tcW w:type="dxa" w:w="1728"/>
          </w:tcPr>
          <w:p>
            <w:r/>
            <w:r>
              <w:rPr>
                <w:rFonts w:ascii="Times New Roman" w:hAnsi="Times New Roman"/>
                <w:sz w:val="18"/>
              </w:rPr>
              <w:t>[+0.393, +0.458]</w:t>
            </w:r>
          </w:p>
        </w:tc>
      </w:tr>
      <w:tr>
        <w:tc>
          <w:tcPr>
            <w:tcW w:type="dxa" w:w="1728"/>
          </w:tcPr>
          <w:p>
            <w:r/>
            <w:r>
              <w:rPr>
                <w:rFonts w:ascii="Times New Roman" w:hAnsi="Times New Roman"/>
                <w:sz w:val="18"/>
              </w:rPr>
              <w:t>Gemma-3 12B</w:t>
            </w:r>
          </w:p>
        </w:tc>
        <w:tc>
          <w:tcPr>
            <w:tcW w:type="dxa" w:w="1728"/>
          </w:tcPr>
          <w:p>
            <w:r/>
            <w:r>
              <w:rPr>
                <w:rFonts w:ascii="Times New Roman" w:hAnsi="Times New Roman"/>
                <w:sz w:val="18"/>
              </w:rPr>
              <w:t>0.471 ± 0.014</w:t>
            </w:r>
          </w:p>
        </w:tc>
        <w:tc>
          <w:tcPr>
            <w:tcW w:type="dxa" w:w="1728"/>
          </w:tcPr>
          <w:p>
            <w:r/>
            <w:r>
              <w:rPr>
                <w:rFonts w:ascii="Times New Roman" w:hAnsi="Times New Roman"/>
                <w:sz w:val="18"/>
              </w:rPr>
              <w:t>0.483 ± 0.042</w:t>
            </w:r>
          </w:p>
        </w:tc>
        <w:tc>
          <w:tcPr>
            <w:tcW w:type="dxa" w:w="1728"/>
          </w:tcPr>
          <w:p>
            <w:r/>
            <w:r>
              <w:rPr>
                <w:rFonts w:ascii="Times New Roman" w:hAnsi="Times New Roman"/>
                <w:sz w:val="18"/>
              </w:rPr>
              <w:t>+0.012</w:t>
            </w:r>
          </w:p>
        </w:tc>
        <w:tc>
          <w:tcPr>
            <w:tcW w:type="dxa" w:w="1728"/>
          </w:tcPr>
          <w:p>
            <w:r/>
            <w:r>
              <w:rPr>
                <w:rFonts w:ascii="Times New Roman" w:hAnsi="Times New Roman"/>
                <w:sz w:val="18"/>
              </w:rPr>
              <w:t>[–0.018, +0.039]</w:t>
            </w:r>
          </w:p>
        </w:tc>
      </w:tr>
      <w:tr>
        <w:tc>
          <w:tcPr>
            <w:tcW w:type="dxa" w:w="1728"/>
          </w:tcPr>
          <w:p>
            <w:r/>
            <w:r>
              <w:rPr>
                <w:rFonts w:ascii="Times New Roman" w:hAnsi="Times New Roman"/>
                <w:sz w:val="18"/>
              </w:rPr>
              <w:t>Gemma-3 27B</w:t>
            </w:r>
          </w:p>
        </w:tc>
        <w:tc>
          <w:tcPr>
            <w:tcW w:type="dxa" w:w="1728"/>
          </w:tcPr>
          <w:p>
            <w:r/>
            <w:r>
              <w:rPr>
                <w:rFonts w:ascii="Times New Roman" w:hAnsi="Times New Roman"/>
                <w:sz w:val="18"/>
              </w:rPr>
              <w:t>0.462 ± 0.032</w:t>
            </w:r>
          </w:p>
        </w:tc>
        <w:tc>
          <w:tcPr>
            <w:tcW w:type="dxa" w:w="1728"/>
          </w:tcPr>
          <w:p>
            <w:r/>
            <w:r>
              <w:rPr>
                <w:rFonts w:ascii="Times New Roman" w:hAnsi="Times New Roman"/>
                <w:sz w:val="18"/>
              </w:rPr>
              <w:t>0.676 ± 0.018</w:t>
            </w:r>
          </w:p>
        </w:tc>
        <w:tc>
          <w:tcPr>
            <w:tcW w:type="dxa" w:w="1728"/>
          </w:tcPr>
          <w:p>
            <w:r/>
            <w:r>
              <w:rPr>
                <w:rFonts w:ascii="Times New Roman" w:hAnsi="Times New Roman"/>
                <w:sz w:val="18"/>
              </w:rPr>
              <w:t>+0.214</w:t>
            </w:r>
          </w:p>
        </w:tc>
        <w:tc>
          <w:tcPr>
            <w:tcW w:type="dxa" w:w="1728"/>
          </w:tcPr>
          <w:p>
            <w:r/>
            <w:r>
              <w:rPr>
                <w:rFonts w:ascii="Times New Roman" w:hAnsi="Times New Roman"/>
                <w:sz w:val="18"/>
              </w:rPr>
              <w:t>[+0.204, +0.231]</w:t>
            </w:r>
          </w:p>
        </w:tc>
      </w:tr>
      <w:tr>
        <w:tc>
          <w:tcPr>
            <w:tcW w:type="dxa" w:w="1728"/>
          </w:tcPr>
          <w:p>
            <w:r/>
            <w:r>
              <w:rPr>
                <w:rFonts w:ascii="Times New Roman" w:hAnsi="Times New Roman"/>
                <w:sz w:val="18"/>
              </w:rPr>
              <w:t>Ministral 3B</w:t>
            </w:r>
          </w:p>
        </w:tc>
        <w:tc>
          <w:tcPr>
            <w:tcW w:type="dxa" w:w="1728"/>
          </w:tcPr>
          <w:p>
            <w:r/>
            <w:r>
              <w:rPr>
                <w:rFonts w:ascii="Times New Roman" w:hAnsi="Times New Roman"/>
                <w:sz w:val="18"/>
              </w:rPr>
              <w:t>0.431 ± 0.056</w:t>
            </w:r>
          </w:p>
        </w:tc>
        <w:tc>
          <w:tcPr>
            <w:tcW w:type="dxa" w:w="1728"/>
          </w:tcPr>
          <w:p>
            <w:r/>
            <w:r>
              <w:rPr>
                <w:rFonts w:ascii="Times New Roman" w:hAnsi="Times New Roman"/>
                <w:sz w:val="18"/>
              </w:rPr>
              <w:t>0.734 ± 0.020</w:t>
            </w:r>
          </w:p>
        </w:tc>
        <w:tc>
          <w:tcPr>
            <w:tcW w:type="dxa" w:w="1728"/>
          </w:tcPr>
          <w:p>
            <w:r/>
            <w:r>
              <w:rPr>
                <w:rFonts w:ascii="Times New Roman" w:hAnsi="Times New Roman"/>
                <w:sz w:val="18"/>
              </w:rPr>
              <w:t>+0.302</w:t>
            </w:r>
          </w:p>
        </w:tc>
        <w:tc>
          <w:tcPr>
            <w:tcW w:type="dxa" w:w="1728"/>
          </w:tcPr>
          <w:p>
            <w:r/>
            <w:r>
              <w:rPr>
                <w:rFonts w:ascii="Times New Roman" w:hAnsi="Times New Roman"/>
                <w:sz w:val="18"/>
              </w:rPr>
              <w:t>[+0.232, +0.350]</w:t>
            </w:r>
          </w:p>
        </w:tc>
      </w:tr>
      <w:tr>
        <w:tc>
          <w:tcPr>
            <w:tcW w:type="dxa" w:w="1728"/>
          </w:tcPr>
          <w:p>
            <w:r/>
            <w:r>
              <w:rPr>
                <w:rFonts w:ascii="Times New Roman" w:hAnsi="Times New Roman"/>
                <w:sz w:val="18"/>
              </w:rPr>
              <w:t>Ministral 8B</w:t>
            </w:r>
          </w:p>
        </w:tc>
        <w:tc>
          <w:tcPr>
            <w:tcW w:type="dxa" w:w="1728"/>
          </w:tcPr>
          <w:p>
            <w:r/>
            <w:r>
              <w:rPr>
                <w:rFonts w:ascii="Times New Roman" w:hAnsi="Times New Roman"/>
                <w:sz w:val="18"/>
              </w:rPr>
              <w:t>0.579 ± 0.014</w:t>
            </w:r>
          </w:p>
        </w:tc>
        <w:tc>
          <w:tcPr>
            <w:tcW w:type="dxa" w:w="1728"/>
          </w:tcPr>
          <w:p>
            <w:r/>
            <w:r>
              <w:rPr>
                <w:rFonts w:ascii="Times New Roman" w:hAnsi="Times New Roman"/>
                <w:sz w:val="18"/>
              </w:rPr>
              <w:t>0.626 ± 0.008</w:t>
            </w:r>
          </w:p>
        </w:tc>
        <w:tc>
          <w:tcPr>
            <w:tcW w:type="dxa" w:w="1728"/>
          </w:tcPr>
          <w:p>
            <w:r/>
            <w:r>
              <w:rPr>
                <w:rFonts w:ascii="Times New Roman" w:hAnsi="Times New Roman"/>
                <w:sz w:val="18"/>
              </w:rPr>
              <w:t>+0.047</w:t>
            </w:r>
          </w:p>
        </w:tc>
        <w:tc>
          <w:tcPr>
            <w:tcW w:type="dxa" w:w="1728"/>
          </w:tcPr>
          <w:p>
            <w:r/>
            <w:r>
              <w:rPr>
                <w:rFonts w:ascii="Times New Roman" w:hAnsi="Times New Roman"/>
                <w:sz w:val="18"/>
              </w:rPr>
              <w:t>[+0.042, +0.091]</w:t>
            </w:r>
          </w:p>
        </w:tc>
      </w:tr>
      <w:tr>
        <w:tc>
          <w:tcPr>
            <w:tcW w:type="dxa" w:w="1728"/>
          </w:tcPr>
          <w:p>
            <w:r/>
            <w:r>
              <w:rPr>
                <w:rFonts w:ascii="Times New Roman" w:hAnsi="Times New Roman"/>
                <w:sz w:val="18"/>
              </w:rPr>
              <w:t>Ministral 14B</w:t>
            </w:r>
          </w:p>
        </w:tc>
        <w:tc>
          <w:tcPr>
            <w:tcW w:type="dxa" w:w="1728"/>
          </w:tcPr>
          <w:p>
            <w:r/>
            <w:r>
              <w:rPr>
                <w:rFonts w:ascii="Times New Roman" w:hAnsi="Times New Roman"/>
                <w:sz w:val="18"/>
              </w:rPr>
              <w:t>0.665 ± 0.010</w:t>
            </w:r>
          </w:p>
        </w:tc>
        <w:tc>
          <w:tcPr>
            <w:tcW w:type="dxa" w:w="1728"/>
          </w:tcPr>
          <w:p>
            <w:r/>
            <w:r>
              <w:rPr>
                <w:rFonts w:ascii="Times New Roman" w:hAnsi="Times New Roman"/>
                <w:sz w:val="18"/>
              </w:rPr>
              <w:t>0.708 ± 0.012</w:t>
            </w:r>
          </w:p>
        </w:tc>
        <w:tc>
          <w:tcPr>
            <w:tcW w:type="dxa" w:w="1728"/>
          </w:tcPr>
          <w:p>
            <w:r/>
            <w:r>
              <w:rPr>
                <w:rFonts w:ascii="Times New Roman" w:hAnsi="Times New Roman"/>
                <w:sz w:val="18"/>
              </w:rPr>
              <w:t>+0.043</w:t>
            </w:r>
          </w:p>
        </w:tc>
        <w:tc>
          <w:tcPr>
            <w:tcW w:type="dxa" w:w="1728"/>
          </w:tcPr>
          <w:p>
            <w:r/>
            <w:r>
              <w:rPr>
                <w:rFonts w:ascii="Times New Roman" w:hAnsi="Times New Roman"/>
                <w:sz w:val="18"/>
              </w:rPr>
              <w:t>[+0.041, +0.054]</w:t>
            </w:r>
          </w:p>
        </w:tc>
      </w:tr>
    </w:tbl>
    <w:p>
      <w:r>
        <w:rPr>
          <w:i/>
          <w:sz w:val="18"/>
        </w:rPr>
        <w:t>Delta = governed minus ungoverned EHE. 95% CIs from bootstrap resampling (agent-timestep level, 10,000 iterations). Reasoning-action mismatch rates in Table S1.</w:t>
      </w:r>
    </w:p>
    <w:p/>
    <w:p>
      <w:pPr/>
      <w:r>
        <w:rPr>
          <w:b w:val="0"/>
          <w:i w:val="0"/>
        </w:rPr>
        <w:t>The consistency across two water domains, six model scales, two model families, and against a hand-coded baseline provides converging evidence that institutional governance enables adaptive strategy diversity — a capacity that depends on the governance architecture rather than the specific language model. Because both domains use the same broker with domain-specific rule configurations rather than redesigned decision logic, the architecture addresses a longstanding limitation of agent-based water models: the need to rebuild decision modules for each application domain.</w:t>
      </w:r>
    </w:p>
    <w:p>
      <w:r>
        <w:br w:type="page"/>
      </w:r>
    </w:p>
    <w:p>
      <w:pPr>
        <w:pStyle w:val="Heading1"/>
      </w:pPr>
      <w:r>
        <w:t>Discussion</w:t>
      </w:r>
    </w:p>
    <w:p>
      <w:pPr/>
      <w:r>
        <w:rPr>
          <w:b w:val="0"/>
          <w:i w:val="0"/>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 systems, this parallels how senior rights holders extract their full entitlement in normal years because shortage-sharing rules ensure proportionate curtailment during drought — the institution does not reduce water use, it makes higher use safe.</w:t>
      </w:r>
    </w:p>
    <w:p>
      <w:pPr/>
      <w:r>
        <w:rPr>
          <w:b w:val="0"/>
          <w:i w:val="0"/>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r>
        <w:rPr>
          <w:b w:val="0"/>
          <w:i w:val="0"/>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strategy diversity than hand-coded agents using the same behavioural theory with parameterized heterogeneity, because language-based reasoning generates qualitatively different strategies that threshold-based rules cannot represent. A fuzzy Q-learning baseline (Hung &amp; Yang, 2021) achieved comparable demand ratios but near-zero demand–Mead coupling (r = 0.057 versus 0.547 governed), confirming that the adaptive exploitation pattern requires the natural-language reasoning format, not merely the governance constraints (Supplementary Section S11).</w:t>
      </w:r>
    </w:p>
    <w:p>
      <w:pPr/>
      <w:r>
        <w:rPr>
          <w:b w:val="0"/>
          <w:i w:val="0"/>
        </w:rPr>
        <w:t>Governance also reveals reasoning patterns that illuminate how agents behave at institutional boundaries. Because the broker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Section S2 for paired reasoning traces). Across all governed runs, 42% of high-scarcity decisions still attempted demand increases despite drought signals (Table 1, BRI). Governance does not eliminate maladaptive water-use reasoning; it intercepts the proposal before execution and records the reasoning trace that produced it. This diagnostic capacity has no analogue in conventional water-resource agent models, where agents execute programmed allocation rules and cannot generate proposals that violate those rules.</w:t>
      </w:r>
    </w:p>
    <w:p>
      <w:pPr/>
      <w:r>
        <w:rPr>
          <w:b w:val="0"/>
          <w:i w:val="0"/>
        </w:rPr>
        <w:t>The tendency of governed agents to attempt demand increases during scarcity has empirical precedent in prior-appropriation systems, where irrigators historically increase diversions in anticipation of curtailment. Our governance architecture suppresses these proposals; future designs could distinguish between physically infeasible allocations and institutionally prohibited-but-observed diversion strategies, preserving them as diagnostic windows into water-use reasoning under scarcity. This distinguishes boundary constraints (what agents cannot do) from prescriptive constraints (what agents should do) — the majority of our rules enforce the former, leaving strategy selection to the agent.</w:t>
      </w:r>
    </w:p>
    <w:p>
      <w:pPr/>
      <w:r>
        <w:rPr>
          <w:b w:val="0"/>
          <w:i w:val="0"/>
        </w:rPr>
        <w:t>Several scope conditions apply. Only one model (Gemma-3 4B) was tested in the irrigation domain; the multi-scale analysis is limited to flood. Both model families are instruction-tuned decoder-only transformers; generalization to reasoning-specialized architectures remains untested. The reservoir model simplifies the full CRSS system to a single reservoir; results should be interpreted as stylized institutional dynamics. Each domain required substantial configuration (personas, validators, skill registries); transferability refers to the governance architecture, not the configuration effort. Despite these limitations, the consistency of the governance effect — positive for all six model scales, across both water domains, and against a hand-coded baseline — suggests that institutional boundary enforcement is a robust mechanism for enabling adaptive strategy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r>
        <w:br w:type="page"/>
      </w:r>
    </w:p>
    <w:p>
      <w:pPr>
        <w:pStyle w:val="Heading1"/>
      </w:pPr>
      <w:r>
        <w:t>Methods</w:t>
      </w:r>
    </w:p>
    <w:p>
      <w:pPr>
        <w:pStyle w:val="Heading2"/>
      </w:pPr>
      <w:r>
        <w:t>Broker Architecture and Governance Pipeline</w:t>
      </w:r>
    </w:p>
    <w:p>
      <w:pPr/>
      <w:r>
        <w:rPr>
          <w:b w:val="0"/>
          <w:i w:val="0"/>
        </w:rPr>
        <w:t>The Water Agent Governance Framework implements a three-layer architecture: an LLM agent layer, a governance broker, and a simulation engine. At each decision step, the context builder assembles a tiered, read-only signal package for the agent — personal state variables, social observations from network neighbours, and system-level information (drought indices, flood forecasts, institutional announcements) — bounded to what the agent's role and location would permit access to. The agent produces a structured JSON output comprising a proposed skill (action), natural-language reasoning, and psychological construct labels where applicable. The governance broker then evaluates this proposal through a six-step validation pipeline:</w:t>
      </w:r>
    </w:p>
    <w:p>
      <w:pPr/>
      <w:r>
        <w:rPr>
          <w:b w:val="0"/>
          <w:i w:val="0"/>
        </w:rPr>
        <w:t>1. Schema validation: Confirms the output conforms to the required JSON structure.</w:t>
      </w:r>
    </w:p>
    <w:p>
      <w:pPr/>
      <w:r>
        <w:rPr>
          <w:b w:val="0"/>
          <w:i w:val="0"/>
        </w:rPr>
        <w:t>2. Skill legality: Verifies the proposed action belongs to the agent's type-specific skill registry.</w:t>
      </w:r>
    </w:p>
    <w:p>
      <w:pPr/>
      <w:r>
        <w:rPr>
          <w:b w:val="0"/>
          <w:i w:val="0"/>
        </w:rPr>
        <w:t>3. Physical feasibility: Checks mass balance, capacity limits, and domain-specific physical constraints.</w:t>
      </w:r>
    </w:p>
    <w:p>
      <w:pPr/>
      <w:r>
        <w:rPr>
          <w:b w:val="0"/>
          <w:i w:val="0"/>
        </w:rPr>
        <w:t>4. Institutional compliance: Validates against policy rules (prior-appropriation doctrine, programme eligibility).</w:t>
      </w:r>
    </w:p>
    <w:p>
      <w:pPr/>
      <w:r>
        <w:rPr>
          <w:b w:val="0"/>
          <w:i w:val="0"/>
        </w:rPr>
        <w:t>5. Magnitude plausibility: Assesses whether proposed changes fall within empirically calibrated bounds (e.g., year-over-year demand shifts within +/-15%).</w:t>
      </w:r>
    </w:p>
    <w:p>
      <w:pPr/>
      <w:r>
        <w:rPr>
          <w:b w:val="0"/>
          <w:i w:val="0"/>
        </w:rPr>
        <w:t>6. Theory consistency: For domains with explicit behavioural theory framing (e.g., Protection Motivation Theory), verifies alignment between stated reasoning constructs and the proposed action.</w:t>
      </w:r>
    </w:p>
    <w:p>
      <w:pPr/>
      <w:r>
        <w:rPr>
          <w:b w:val="0"/>
          <w:i w:val="0"/>
        </w:rPr>
        <w:t>When a proposal fails validation, the broker returns a structured explanation identifying the violated rule. The agent receives this feedback and may revise its proposal. A retry manager governs this loop (max 3 retries): if the same rule blocks consecutive attempts, an early-exit mechanism terminates the cycle to prevent futile LLM calls. Upon early exit, a domain-appropriate default action (typically "do nothing") executes, ensuring simulation advancement. Failed proposals, revision attempts, and governance explanations are recorded in JSONL audit traces for post-hoc analysis.</w:t>
      </w:r>
    </w:p>
    <w:p>
      <w:pPr/>
      <w:r>
        <w:rPr>
          <w:b w:val="0"/>
          <w:i w:val="0"/>
        </w:rPr>
        <w:t>The broker core is fixed code requiring no modification across domains. All domain-specific knowledge is expressed through declarative configuration files:</w:t>
        <w:br/>
        <w:t>- Skill registries (YAML): Define the action vocabulary per agent type.</w:t>
        <w:br/>
        <w:t>- Agent-type specifications (YAML): Map state variables, decision attributes, and governance rule bindings.</w:t>
        <w:br/>
        <w:t>- Persona prompts (natural language): Establish cognitive framing, institutional context, and behavioural theory orientation per agent type.</w:t>
        <w:br/>
        <w:t>- Governance rules (YAML): Specify validator stacks, thresholds, and severity levels (WARNING vs. ERROR).</w:t>
      </w:r>
    </w:p>
    <w:p>
      <w:pPr>
        <w:pStyle w:val="Heading2"/>
      </w:pPr>
      <w:r>
        <w:t>LLM Configuration and Inference</w:t>
      </w:r>
    </w:p>
    <w:p>
      <w:pPr/>
      <w:r>
        <w:rPr>
          <w:b w:val="0"/>
          <w:i w:val="0"/>
        </w:rPr>
        <w:t>All experiments used locally hosted open-weight models via Ollama, a local inference platform for open-weight language models. The primary model was Gemma-3 4B (Gemma Team, 2025; Ollama tag gemma3:4b); cross-scale comparisons included Gemma-3 12B (gemma3:12b) and 27B (gemma3:27b), and Ministral 3B (ministral:3b), 8B (ministral:8b), and 14B (ministral:14b). Temperature was set to 0.8 with top_p = 0.9 (nucleus sampling threshold) and context window of 8,192 tokens. The temperature value follows common practice in generative agent studies (Park et al., 2023); no temperature sensitivity analysis was conducted, and we note that a nominal temperature of 0.8 may produce different entropy characteristics across architectures. Structured output was enforced through delimiter-bounded JSON response formats with smart repair preprocessing — a rule-based procedure that fixes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pStyle w:val="Heading2"/>
      </w:pPr>
      <w:r>
        <w:t>Irrigation Domain Setup</w:t>
      </w:r>
    </w:p>
    <w:p>
      <w:pPr/>
      <w:r>
        <w:rPr>
          <w:b w:val="0"/>
          <w:i w:val="0"/>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skills define the action vocabulary: increase demand (large or small), decrease demand (large or small), and maintain demand. Each skill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A1 ablation), 2 social (seniority compliance, basin-level coordination), 1 temporal (seasonal plausibility), and 1 behavioural (WSA-ACA construct-action alignment).</w:t>
      </w:r>
    </w:p>
    <w:p>
      <w:pPr/>
      <w:r>
        <w:rPr>
          <w:b w:val="0"/>
          <w:i w:val="0"/>
        </w:rPr>
        <w:t>To isolate the governance contribution, we conducted a two-condition ablation:</w:t>
        <w:br/>
        <w:t>- Governed: Full governance pipeline (12 validators, WARNING and ERROR severity levels, retry loop with early exit). WARNING-level violations issue feedback but allow execution; ERROR-level violations block the proposal and trigger retries (max 3).</w:t>
        <w:br/>
        <w:t>- Ungoverned: Identical agent personas, environment, and magnitude sampling, but with governance disabled (no validators, no retry loop). The LLM freely selects any skill; physical bounds are maintained solely through the code-level clamp in the simulation engine.</w:t>
      </w:r>
    </w:p>
    <w:p>
      <w:pPr/>
      <w:r>
        <w:rPr>
          <w:b w:val="0"/>
          <w:i w:val="0"/>
        </w:rPr>
        <w:t>A third condition tested targeted ablation:</w:t>
        <w:br/>
        <w:t>- A1 (No demand ceiling): Full governance pipeline minus the `demand_ceiling_stabilizer`,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r>
        <w:rPr>
          <w:b w:val="0"/>
          <w:i w:val="0"/>
        </w:rPr>
        <w:t>Each condition was run with 3 replicate seeds (42, 43, 44) for a total of 9 irrigation runs. Because magnitude is code-generated in all conditions, the ablation cleanly isolates the governance effect on skill selection quality.</w:t>
      </w:r>
    </w:p>
    <w:p>
      <w:pPr>
        <w:pStyle w:val="Heading2"/>
      </w:pPr>
      <w:r>
        <w:t>Reservoir Simulation</w:t>
      </w:r>
    </w:p>
    <w:p>
      <w:pPr/>
      <w:r>
        <w:rPr>
          <w:b w:val="0"/>
          <w:i w:val="0"/>
        </w:rPr>
        <w:t>Agent decisions drive Lake Mead through an endogenous mass-balance model. At each annual timestep, the simulation computes:</w:t>
      </w:r>
    </w:p>
    <w:p>
      <w:pPr>
        <w:jc w:val="center"/>
      </w:pPr>
      <w:r>
        <w:rPr>
          <w:i/>
        </w:rPr>
        <w:t>Storage(t+1) = Storage(t) + Inflows(t) − ΣWithdrawals(t) − Evaporation(t) − Downstream(t)</w:t>
      </w:r>
    </w:p>
    <w:p>
      <w:pPr/>
      <w:r>
        <w:rPr>
          <w:b w:val="0"/>
          <w:i w:val="0"/>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The simulation clamps storage changes to ±3.5 MAF/yr to prevent numerical instabilities.</w:t>
      </w:r>
    </w:p>
    <w:p>
      <w:pPr/>
      <w:r>
        <w:rPr>
          <w:b w:val="0"/>
          <w:i w:val="0"/>
        </w:rPr>
        <w:t>Shortage tiers activate at elevation thresholds following the 2007 Interim Guidelines: Tier 1 at 1,075 ft (5% curtailment), Tier 2 at 1,050 ft (10%), Tier 3 at 1,025 ft (20%). Curtailment reduces all agents' fulfilled diversions pro rata. Upper Basin diversions are additionally constrained by a minimum Powell release of 7.0 MAF/yr and infrastructure capacity of 5.0 MAF/yr, with pro-rata reduction when aggregate Upper Basin demand exceeds the effective cap.</w:t>
      </w:r>
    </w:p>
    <w:p>
      <w:pPr/>
      <w:r>
        <w:rPr>
          <w:b w:val="0"/>
          <w:i w:val="0"/>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r>
        <w:rPr>
          <w:b w:val="0"/>
          <w:i w:val="0"/>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pStyle w:val="Heading2"/>
      </w:pPr>
      <w:r>
        <w:t>Flood Domain Setup</w:t>
      </w:r>
    </w:p>
    <w:p>
      <w:pPr/>
      <w:r>
        <w:rPr>
          <w:b w:val="0"/>
          <w:i w:val="0"/>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skills are available: purchase flood insurance, elevate home, relocate, or do nothing. The elevation skill is permanently blocked once completed.</w:t>
      </w:r>
    </w:p>
    <w:p>
      <w:pPr/>
      <w:r>
        <w:rPr>
          <w:b w:val="0"/>
          <w:i w:val="0"/>
        </w:rPr>
        <w:t>The experiment uses a three-group factorial design:</w:t>
        <w:br/>
        <w:t>- Group A (Ungoverned): LLM with window memory and governance validation disabled — establishes the baseline behavioural quality. Critically, Group A agents receive identical prompt templates, PMT-based response format requirements, and environmental context signals as Groups B and C; the only difference is that proposed decisions bypass governance validation and execute directly.</w:t>
        <w:br/>
        <w:t>- Group B (Governed): LLM with window memory (5-year window) and full governance validation — isolates the governance effect.</w:t>
        <w:br/>
        <w:t>- Group C (Governed + HumanCentric Memory): LLM with surprise-weighted, arousal-gated memory featuring stochastic consolidation and exponential decay, plus full governance validation — tests whether cognitively inspired memory improves native alignment. Group C is not analysed in this paper; main-text comparisons use Groups A and B only.</w:t>
      </w:r>
    </w:p>
    <w:p>
      <w:pPr/>
      <w:r>
        <w:rPr>
          <w:b w:val="0"/>
          <w:i w:val="0"/>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r>
        <w:rPr>
          <w:b w:val="0"/>
          <w:i w:val="0"/>
        </w:rPr>
        <w:t>Strategy diversity metric. For both domains, strategy diversity is measured from each agent's annual action selection — the decision variable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pStyle w:val="Heading2"/>
      </w:pPr>
      <w:r>
        <w:t>Rule-Based PMT Agent</w:t>
      </w:r>
    </w:p>
    <w:p>
      <w:pPr/>
      <w:r>
        <w:rPr>
          <w:b w:val="0"/>
          <w:i w:val="0"/>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EHE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pStyle w:val="Heading2"/>
      </w:pPr>
      <w:r>
        <w:t>Validation Protocol</w:t>
      </w:r>
    </w:p>
    <w:p>
      <w:pPr/>
      <w:r>
        <w:rPr>
          <w:b w:val="0"/>
          <w:i w:val="0"/>
        </w:rPr>
        <w:t>We adopted a multi-level validation protocol informed by pattern-oriented modelling principles (Grimm et al., 2005).</w:t>
      </w:r>
    </w:p>
    <w:p>
      <w:pPr/>
      <w:r>
        <w:rPr>
          <w:b w:val="0"/>
          <w:i w:val="0"/>
        </w:rPr>
        <w:t>Level 1 — Micro-behavioural coherence.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skill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w:t>
      </w:r>
    </w:p>
    <w:p>
      <w:pPr/>
      <w:r>
        <w:rPr>
          <w:b w:val="0"/>
          <w:i w:val="0"/>
        </w:rPr>
        <w:t>Level 2 — Population-level patterns. Effective Heterogeneity Entropy (EHE) measures strategy diversity as normalized Shannon entropy: EHE = H / log_2(k), where k is the number of actions in the agent's designed decision interface (k = 4 for flood, k = 5 for irrigation). Cognitive lifespan T_life is defined as the number of simulated years during which EHE &gt; 0.4, capturing when a population collapses into repetitive behaviour. For irrigation, aggregate demand ratio against CRSS baseline serves as the primary population-level calibration target.</w:t>
      </w:r>
    </w:p>
    <w:p>
      <w:pPr/>
      <w:r>
        <w:rPr>
          <w:b w:val="0"/>
          <w:i w:val="0"/>
        </w:rPr>
        <w:t>Level 3 — Cross-scale comparison. To assess whether governance compensates for model scale, we compare governed 4B agents against ungoverned agents at 12B and 27B scales using Mann-Whitney U tests, Cohen's d effect sizes, and bootstrap confidence intervals on EHE differences.</w:t>
      </w:r>
    </w:p>
    <w:p>
      <w:pPr>
        <w:pStyle w:val="Heading2"/>
      </w:pPr>
      <w:r>
        <w:t>Statistical Analysis</w:t>
      </w:r>
    </w:p>
    <w:p>
      <w:pPr/>
      <w:r>
        <w:rPr>
          <w:b w:val="0"/>
          <w:i w:val="0"/>
        </w:rPr>
        <w:t>Ensemble analyses used 3 replicate runs per configuration with fixed random seeds. We acknowledge that n = 3 per condition limits formal inferential power: Mann-Whitney U tests with n_1 = n_2 = 3 have a minimum achievable two-tailed p-value of 0.10, and bootstrap confidence intervals from 3 observations yield limited resolution. We therefore report primarily descriptive statistics (means, ranges, and EHE values per seed) and treat ensemble runs as providing robustness checks rather than formal hypothesis tests. Where reported, effect sizes use Cohen's d with the caveat that confidence intervals are wide at this sample size. For agent-level analyses, we computed chi-squared tests on aggregate skill distributions pooled across seeds, which provide adequate power given the large number of agent-decisions per condition (e.g., 100 agents x 10 years x 3 seeds = 3,000 agent-decisions for flood). To decompose the governance contribution, we computed CACR on proposed skills (pre-governance) and final skills (post-governance), yielding a governance value-add metric. All analyses were conducted in Python 3.11 using NumPy, SciPy, and pandas.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