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960" w:line="480" w:lineRule="auto"/>
        <w:jc w:val="center"/>
      </w:pPr>
      <w:r>
        <w:rPr>
          <w:rFonts w:ascii="Times New Roman" w:hAnsi="Times New Roman" w:eastAsia="Times New Roman"/>
          <w:b/>
          <w:i w:val="0"/>
          <w:sz w:val="32"/>
        </w:rPr>
        <w:t>Institutional Constraints Widen Adaptive Strategy Diversity</w:t>
        <w:br/>
        <w:t>in Language-Based Water Agents</w:t>
      </w:r>
    </w:p>
    <w:p>
      <w:pPr>
        <w:spacing w:after="120" w:before="0" w:line="480" w:lineRule="auto"/>
        <w:jc w:val="center"/>
      </w:pPr>
      <w:r>
        <w:rPr>
          <w:rFonts w:ascii="Times New Roman" w:hAnsi="Times New Roman" w:eastAsia="Times New Roman"/>
          <w:b w:val="0"/>
          <w:i w:val="0"/>
          <w:sz w:val="24"/>
        </w:rPr>
        <w:t>Wen-Yu Lin¹*, Cal Buelo¹</w:t>
      </w:r>
    </w:p>
    <w:p>
      <w:pPr>
        <w:spacing w:after="80" w:before="0" w:line="480" w:lineRule="auto"/>
        <w:jc w:val="center"/>
      </w:pPr>
      <w:r>
        <w:rPr>
          <w:rFonts w:ascii="Times New Roman" w:hAnsi="Times New Roman" w:eastAsia="Times New Roman"/>
          <w:b w:val="0"/>
          <w:i/>
          <w:sz w:val="20"/>
        </w:rPr>
        <w:t>¹ Department of Civil and Environmental Engineering, Lehigh University, Bethlehem, PA, USA</w:t>
      </w:r>
    </w:p>
    <w:p>
      <w:pPr>
        <w:spacing w:after="480" w:before="0" w:line="480" w:lineRule="auto"/>
        <w:jc w:val="center"/>
      </w:pPr>
      <w:r>
        <w:rPr>
          <w:rFonts w:ascii="Times New Roman" w:hAnsi="Times New Roman" w:eastAsia="Times New Roman"/>
          <w:b w:val="0"/>
          <w:i/>
          <w:sz w:val="20"/>
        </w:rPr>
        <w:t>* Corresponding author: wel224@lehigh.edu</w:t>
      </w:r>
    </w:p>
    <w:p>
      <w:pPr>
        <w:spacing w:after="120" w:before="360" w:line="480" w:lineRule="auto"/>
        <w:jc w:val="left"/>
      </w:pPr>
      <w:r>
        <w:rPr>
          <w:rFonts w:ascii="Times New Roman" w:hAnsi="Times New Roman" w:eastAsia="Times New Roman"/>
          <w:b/>
          <w:i w:val="0"/>
          <w:sz w:val="28"/>
        </w:rPr>
        <w:t>Abstract</w:t>
      </w:r>
    </w:p>
    <w:p>
      <w:pPr>
        <w:spacing w:after="0" w:before="0" w:line="480" w:lineRule="auto"/>
        <w:ind w:firstLine="432"/>
        <w:jc w:val="both"/>
      </w:pPr>
      <w:r>
        <w:rPr>
          <w:rFonts w:ascii="Times New Roman" w:hAnsi="Times New Roman" w:eastAsia="Times New Roman"/>
          <w:b w:val="0"/>
          <w:i w:val="0"/>
          <w:sz w:val="22"/>
        </w:rPr>
        <w:t>In a 42-year Colorado River irrigation simulation, language-based agents governed by modular physical and institutional rules extracted more water while maintaining drought responsiveness (demand ratio 0.394 versus 0.288; demand–drought coupling r = 0.547 versus 0.378). Governed agents exhibited adaptive exploitation — higher extraction during abundance, proportionate curtailment during drought — a water-system dynamic whose underlying reasoning is compressed away by parameterized decision functions.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for five of six language models tested, and governance reduced irrational behaviour rates from 0.8–11.6% to at or below 1.7%, significantly for four of six models. Institutional boundaries widen adaptive capacity in ways that fixed decision rules cannot represent.</w:t>
      </w:r>
    </w:p>
    <w:p>
      <w:pPr>
        <w:spacing w:after="120" w:before="360" w:line="480" w:lineRule="auto"/>
        <w:jc w:val="left"/>
      </w:pPr>
      <w:r>
        <w:rPr>
          <w:rFonts w:ascii="Times New Roman" w:hAnsi="Times New Roman" w:eastAsia="Times New Roman"/>
          <w:b/>
          <w:i w:val="0"/>
          <w:sz w:val="24"/>
        </w:rPr>
        <w:t>Introduction</w:t>
      </w:r>
    </w:p>
    <w:p>
      <w:pPr>
        <w:spacing w:after="0" w:before="0" w:line="480" w:lineRule="auto"/>
        <w:ind w:firstLine="432"/>
        <w:jc w:val="both"/>
      </w:pPr>
      <w:r>
        <w:rPr>
          <w:rFonts w:ascii="Times New Roman" w:hAnsi="Times New Roman" w:eastAsia="Times New Roman"/>
          <w:b w:val="0"/>
          <w:i w:val="0"/>
          <w:sz w:val="22"/>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spacing w:after="0" w:before="0" w:line="480" w:lineRule="auto"/>
        <w:ind w:firstLine="432"/>
        <w:jc w:val="both"/>
      </w:pPr>
      <w:r>
        <w:rPr>
          <w:rFonts w:ascii="Times New Roman" w:hAnsi="Times New Roman" w:eastAsia="Times New Roman"/>
          <w:b w:val="0"/>
          <w:i w:val="0"/>
          <w:sz w:val="22"/>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spacing w:after="0" w:before="0" w:line="480" w:lineRule="auto"/>
        <w:ind w:firstLine="432"/>
        <w:jc w:val="both"/>
      </w:pPr>
      <w:r>
        <w:rPr>
          <w:rFonts w:ascii="Times New Roman" w:hAnsi="Times New Roman" w:eastAsia="Times New Roman"/>
          <w:b w:val="0"/>
          <w:i w:val="0"/>
          <w:sz w:val="22"/>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(the seniority-based water rights system governing western US rivers) for Colorado River demand management. More recent approaches have introduced adaptive mechanisms — Bayesian belief updating, reinforcement learning policies (Castilla-Rho et al., 2015),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All agents within a given simulation follow the same cognitive model, differing only in parameter values — a structural rigidity that limits the representation of qualitatively different reasoning strategies within a single population.</w:t>
      </w:r>
    </w:p>
    <w:p>
      <w:pPr>
        <w:spacing w:after="0" w:before="0" w:line="480" w:lineRule="auto"/>
        <w:ind w:firstLine="432"/>
        <w:jc w:val="both"/>
      </w:pPr>
      <w:r>
        <w:rPr>
          <w:rFonts w:ascii="Times New Roman" w:hAnsi="Times New Roman" w:eastAsia="Times New Roman"/>
          <w:b w:val="0"/>
          <w:i w:val="0"/>
          <w:sz w:val="22"/>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(Guo et al., 2024). This body of work suggests that natural language may serve as a medium for representing the reasoning processes that numerical formats compress away.</w:t>
      </w:r>
    </w:p>
    <w:p>
      <w:pPr>
        <w:spacing w:after="0" w:before="0" w:line="480" w:lineRule="auto"/>
        <w:ind w:firstLine="432"/>
        <w:jc w:val="both"/>
      </w:pPr>
      <w:r>
        <w:rPr>
          <w:rFonts w:ascii="Times New Roman" w:hAnsi="Times New Roman" w:eastAsia="Times New Roman"/>
          <w:b w:val="0"/>
          <w:i w:val="0"/>
          <w:sz w:val="22"/>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spacing w:after="0" w:before="0" w:line="480" w:lineRule="auto"/>
        <w:ind w:firstLine="432"/>
        <w:jc w:val="both"/>
      </w:pPr>
      <w:r>
        <w:rPr>
          <w:rFonts w:ascii="Times New Roman" w:hAnsi="Times New Roman" w:eastAsia="Times New Roman"/>
          <w:b w:val="0"/>
          <w:i w:val="0"/>
          <w:sz w:val="22"/>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spacing w:after="0" w:before="0" w:line="480" w:lineRule="auto"/>
        <w:ind w:firstLine="432"/>
        <w:jc w:val="both"/>
      </w:pPr>
      <w:r>
        <w:rPr>
          <w:rFonts w:ascii="Times New Roman" w:hAnsi="Times New Roman" w:eastAsia="Times New Roman"/>
          <w:b w:val="0"/>
          <w:i w:val="0"/>
          <w:sz w:val="22"/>
        </w:rPr>
        <w:t>Here we test this hypothesis across two contrasting water domains: irrigation management in the Colorado River Basin (78 agents, 42 years, generating over 9,800 governed decisions across three seeds) and household flood adaptation (100 agents, 10 years, stochastic flood events, 3,000 governed decisions validated against empirical behavioural benchmarks). Governed agents exploit water more aggressively during abundance and curtail during drought — a pattern of adaptive exploitation whose underlying reasoning, visible in natural language, is compressed away by parameterized decision functions. Ungoverned agents collapse into repetitive behavioural patterns. Removing a single institutional rule — the demand ceiling — collapsed this drought coupling while increasing strategy diversity, establishing that governance channels diversity toward adaptive patterns rather than merely expanding the action space. Governed agents also produced higher strategy diversity than a hand-coded Protection Motivation Theory baseline (Haer et al., 2017) operating under the same behavioural theory — demonstrating that language-based reasoning generates qualitatively richer decision repertoires than numerical threshold models. This governance effect on strategy diversity is positive for five of six language models tested, three statistically significant. Governance also nearly eliminates physically irrational behaviour, with significant reductions in four of six models.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pPr>
        <w:spacing w:after="120" w:before="360" w:line="480" w:lineRule="auto"/>
        <w:jc w:val="left"/>
      </w:pPr>
      <w:r>
        <w:rPr>
          <w:rFonts w:ascii="Times New Roman" w:hAnsi="Times New Roman" w:eastAsia="Times New Roman"/>
          <w:b/>
          <w:i w:val="0"/>
          <w:sz w:val="24"/>
        </w:rPr>
        <w:t>Results</w:t>
      </w:r>
    </w:p>
    <w:p>
      <w:pPr>
        <w:spacing w:after="80" w:before="240" w:line="480" w:lineRule="auto"/>
        <w:jc w:val="left"/>
      </w:pPr>
      <w:r>
        <w:rPr>
          <w:rFonts w:ascii="Times New Roman" w:hAnsi="Times New Roman" w:eastAsia="Times New Roman"/>
          <w:b/>
          <w:i/>
          <w:sz w:val="22"/>
        </w:rPr>
        <w:t>Institutional rules enable adaptive exploitation of water resources</w:t>
      </w:r>
    </w:p>
    <w:p>
      <w:pPr>
        <w:spacing w:after="0" w:before="0" w:line="480" w:lineRule="auto"/>
        <w:ind w:firstLine="432"/>
        <w:jc w:val="both"/>
      </w:pPr>
      <w:r>
        <w:rPr>
          <w:rFonts w:ascii="Times New Roman" w:hAnsi="Times New Roman" w:eastAsia="Times New Roman"/>
          <w:b w:val="0"/>
          <w:i w:val="0"/>
          <w:sz w:val="22"/>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spacing w:after="0" w:before="0" w:line="480" w:lineRule="auto"/>
        <w:ind w:firstLine="432"/>
        <w:jc w:val="both"/>
      </w:pPr>
      <w:r>
        <w:rPr>
          <w:rFonts w:ascii="Times New Roman" w:hAnsi="Times New Roman" w:eastAsia="Times New Roman"/>
          <w:b w:val="0"/>
          <w:i w:val="0"/>
          <w:sz w:val="22"/>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equilibrium demand level upward without degrading drought responsiveness. A fuzzy Q-learning baseline (Hung and Yang, 2021) extracted nearly identical water volumes (demand ratio 0.395) but with near-zero demand–Mead coupling (r = 0.057; Table 1, FQL column), confirming that adaptive exploitation requires natural-language reasoning within governance boundaries, not governance constraints alone (Supplementary Note 11).</w:t>
      </w:r>
    </w:p>
    <w:p>
      <w:pPr>
        <w:spacing w:after="0" w:before="0" w:line="480" w:lineRule="auto"/>
        <w:ind w:firstLine="432"/>
        <w:jc w:val="both"/>
      </w:pPr>
      <w:r>
        <w:rPr>
          <w:rFonts w:ascii="Times New Roman" w:hAnsi="Times New Roman" w:eastAsia="Times New Roman"/>
          <w:b w:val="0"/>
          <w:i w:val="0"/>
          <w:sz w:val="22"/>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1. Water-system outcomes and strategy diversity across four conditions (irrigation domain, Gemma-3 4B, 78 agents × 42 years, 3 runs each). FQL = fuzzy Q-learning baseline (Hung and Yang, 2021; see Methods and Supplementary Note 11).</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Metric</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A1 (No Ceiling)</w:t>
            </w:r>
          </w:p>
        </w:tc>
        <w:tc>
          <w:tcPr>
            <w:tcW w:type="dxa" w:w="1872"/>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1872"/>
          </w:tcPr>
          <w:p>
            <w:pPr>
              <w:spacing w:after="0" w:before="0" w:line="240" w:lineRule="auto"/>
              <w:jc w:val="left"/>
            </w:pPr>
            <w:r/>
            <w:r>
              <w:rPr>
                <w:rFonts w:ascii="Times New Roman" w:hAnsi="Times New Roman" w:eastAsia="Times New Roman"/>
                <w:b w:val="0"/>
                <w:i w:val="0"/>
                <w:sz w:val="18"/>
              </w:rPr>
              <w:t>Mean demand ratio</w:t>
            </w:r>
          </w:p>
        </w:tc>
        <w:tc>
          <w:tcPr>
            <w:tcW w:type="dxa" w:w="1872"/>
          </w:tcPr>
          <w:p>
            <w:pPr>
              <w:spacing w:after="0" w:before="0" w:line="240" w:lineRule="auto"/>
              <w:jc w:val="center"/>
            </w:pPr>
            <w:r/>
            <w:r>
              <w:rPr>
                <w:rFonts w:ascii="Times New Roman" w:hAnsi="Times New Roman" w:eastAsia="Times New Roman"/>
                <w:b w:val="0"/>
                <w:i w:val="0"/>
                <w:sz w:val="18"/>
              </w:rPr>
              <w:t>0.394 ± 0.004</w:t>
            </w:r>
          </w:p>
        </w:tc>
        <w:tc>
          <w:tcPr>
            <w:tcW w:type="dxa" w:w="1872"/>
          </w:tcPr>
          <w:p>
            <w:pPr>
              <w:spacing w:after="0" w:before="0" w:line="240" w:lineRule="auto"/>
              <w:jc w:val="center"/>
            </w:pPr>
            <w:r/>
            <w:r>
              <w:rPr>
                <w:rFonts w:ascii="Times New Roman" w:hAnsi="Times New Roman" w:eastAsia="Times New Roman"/>
                <w:b w:val="0"/>
                <w:i w:val="0"/>
                <w:sz w:val="18"/>
              </w:rPr>
              <w:t>0.288 ± 0.020</w:t>
            </w:r>
          </w:p>
        </w:tc>
        <w:tc>
          <w:tcPr>
            <w:tcW w:type="dxa" w:w="1872"/>
          </w:tcPr>
          <w:p>
            <w:pPr>
              <w:spacing w:after="0" w:before="0" w:line="240" w:lineRule="auto"/>
              <w:jc w:val="center"/>
            </w:pPr>
            <w:r/>
            <w:r>
              <w:rPr>
                <w:rFonts w:ascii="Times New Roman" w:hAnsi="Times New Roman" w:eastAsia="Times New Roman"/>
                <w:b w:val="0"/>
                <w:i w:val="0"/>
                <w:sz w:val="18"/>
              </w:rPr>
              <w:t>0.440 ± 0.012</w:t>
            </w:r>
          </w:p>
        </w:tc>
        <w:tc>
          <w:tcPr>
            <w:tcW w:type="dxa" w:w="1872"/>
          </w:tcPr>
          <w:p>
            <w:pPr>
              <w:spacing w:after="0" w:before="0" w:line="240" w:lineRule="auto"/>
              <w:jc w:val="center"/>
            </w:pPr>
            <w:r/>
            <w:r>
              <w:rPr>
                <w:rFonts w:ascii="Times New Roman" w:hAnsi="Times New Roman" w:eastAsia="Times New Roman"/>
                <w:b w:val="0"/>
                <w:i w:val="0"/>
                <w:sz w:val="18"/>
              </w:rPr>
              <w:t>0.395 ± 0.008</w:t>
            </w:r>
          </w:p>
        </w:tc>
      </w:tr>
      <w:tr>
        <w:tc>
          <w:tcPr>
            <w:tcW w:type="dxa" w:w="1872"/>
          </w:tcPr>
          <w:p>
            <w:pPr>
              <w:spacing w:after="0" w:before="0" w:line="240" w:lineRule="auto"/>
              <w:jc w:val="left"/>
            </w:pPr>
            <w:r/>
            <w:r>
              <w:rPr>
                <w:rFonts w:ascii="Times New Roman" w:hAnsi="Times New Roman" w:eastAsia="Times New Roman"/>
                <w:b w:val="0"/>
                <w:i w:val="0"/>
                <w:sz w:val="18"/>
              </w:rPr>
              <w:t>42-yr mean Mead elevation (ft)</w:t>
            </w:r>
          </w:p>
        </w:tc>
        <w:tc>
          <w:tcPr>
            <w:tcW w:type="dxa" w:w="1872"/>
          </w:tcPr>
          <w:p>
            <w:pPr>
              <w:spacing w:after="0" w:before="0" w:line="240" w:lineRule="auto"/>
              <w:jc w:val="center"/>
            </w:pPr>
            <w:r/>
            <w:r>
              <w:rPr>
                <w:rFonts w:ascii="Times New Roman" w:hAnsi="Times New Roman" w:eastAsia="Times New Roman"/>
                <w:b w:val="0"/>
                <w:i w:val="0"/>
                <w:sz w:val="18"/>
              </w:rPr>
              <w:t>1,094</w:t>
            </w:r>
          </w:p>
        </w:tc>
        <w:tc>
          <w:tcPr>
            <w:tcW w:type="dxa" w:w="1872"/>
          </w:tcPr>
          <w:p>
            <w:pPr>
              <w:spacing w:after="0" w:before="0" w:line="240" w:lineRule="auto"/>
              <w:jc w:val="center"/>
            </w:pPr>
            <w:r/>
            <w:r>
              <w:rPr>
                <w:rFonts w:ascii="Times New Roman" w:hAnsi="Times New Roman" w:eastAsia="Times New Roman"/>
                <w:b w:val="0"/>
                <w:i w:val="0"/>
                <w:sz w:val="18"/>
              </w:rPr>
              <w:t>1,173</w:t>
            </w:r>
          </w:p>
        </w:tc>
        <w:tc>
          <w:tcPr>
            <w:tcW w:type="dxa" w:w="1872"/>
          </w:tcPr>
          <w:p>
            <w:pPr>
              <w:spacing w:after="0" w:before="0" w:line="240" w:lineRule="auto"/>
              <w:jc w:val="center"/>
            </w:pPr>
            <w:r/>
            <w:r>
              <w:rPr>
                <w:rFonts w:ascii="Times New Roman" w:hAnsi="Times New Roman" w:eastAsia="Times New Roman"/>
                <w:b w:val="0"/>
                <w:i w:val="0"/>
                <w:sz w:val="18"/>
              </w:rPr>
              <w:t>1,069</w:t>
            </w:r>
          </w:p>
        </w:tc>
        <w:tc>
          <w:tcPr>
            <w:tcW w:type="dxa" w:w="1872"/>
          </w:tcPr>
          <w:p>
            <w:pPr>
              <w:spacing w:after="0" w:before="0" w:line="240" w:lineRule="auto"/>
              <w:jc w:val="center"/>
            </w:pPr>
            <w:r/>
            <w:r>
              <w:rPr>
                <w:rFonts w:ascii="Times New Roman" w:hAnsi="Times New Roman" w:eastAsia="Times New Roman"/>
                <w:b w:val="0"/>
                <w:i w:val="0"/>
                <w:sz w:val="18"/>
              </w:rPr>
              <w:t>1,065</w:t>
            </w:r>
          </w:p>
        </w:tc>
      </w:tr>
      <w:tr>
        <w:tc>
          <w:tcPr>
            <w:tcW w:type="dxa" w:w="1872"/>
          </w:tcPr>
          <w:p>
            <w:pPr>
              <w:spacing w:after="0" w:before="0" w:line="240" w:lineRule="auto"/>
              <w:jc w:val="left"/>
            </w:pPr>
            <w:r/>
            <w:r>
              <w:rPr>
                <w:rFonts w:ascii="Times New Roman" w:hAnsi="Times New Roman" w:eastAsia="Times New Roman"/>
                <w:b w:val="0"/>
                <w:i w:val="0"/>
                <w:sz w:val="18"/>
              </w:rPr>
              <w:t>Demand-Mead coupling (r)</w:t>
            </w:r>
          </w:p>
        </w:tc>
        <w:tc>
          <w:tcPr>
            <w:tcW w:type="dxa" w:w="1872"/>
          </w:tcPr>
          <w:p>
            <w:pPr>
              <w:spacing w:after="0" w:before="0" w:line="240" w:lineRule="auto"/>
              <w:jc w:val="center"/>
            </w:pPr>
            <w:r/>
            <w:r>
              <w:rPr>
                <w:rFonts w:ascii="Times New Roman" w:hAnsi="Times New Roman" w:eastAsia="Times New Roman"/>
                <w:b w:val="0"/>
                <w:i w:val="0"/>
                <w:sz w:val="18"/>
              </w:rPr>
              <w:t>0.547 ± 0.083</w:t>
            </w:r>
          </w:p>
        </w:tc>
        <w:tc>
          <w:tcPr>
            <w:tcW w:type="dxa" w:w="1872"/>
          </w:tcPr>
          <w:p>
            <w:pPr>
              <w:spacing w:after="0" w:before="0" w:line="240" w:lineRule="auto"/>
              <w:jc w:val="center"/>
            </w:pPr>
            <w:r/>
            <w:r>
              <w:rPr>
                <w:rFonts w:ascii="Times New Roman" w:hAnsi="Times New Roman" w:eastAsia="Times New Roman"/>
                <w:b w:val="0"/>
                <w:i w:val="0"/>
                <w:sz w:val="18"/>
              </w:rPr>
              <w:t>0.378 ± 0.081</w:t>
            </w:r>
          </w:p>
        </w:tc>
        <w:tc>
          <w:tcPr>
            <w:tcW w:type="dxa" w:w="1872"/>
          </w:tcPr>
          <w:p>
            <w:pPr>
              <w:spacing w:after="0" w:before="0" w:line="240" w:lineRule="auto"/>
              <w:jc w:val="center"/>
            </w:pPr>
            <w:r/>
            <w:r>
              <w:rPr>
                <w:rFonts w:ascii="Times New Roman" w:hAnsi="Times New Roman" w:eastAsia="Times New Roman"/>
                <w:b w:val="0"/>
                <w:i w:val="0"/>
                <w:sz w:val="18"/>
              </w:rPr>
              <w:t>0.234 ± 0.127</w:t>
            </w:r>
          </w:p>
        </w:tc>
        <w:tc>
          <w:tcPr>
            <w:tcW w:type="dxa" w:w="1872"/>
          </w:tcPr>
          <w:p>
            <w:pPr>
              <w:spacing w:after="0" w:before="0" w:line="240" w:lineRule="auto"/>
              <w:jc w:val="center"/>
            </w:pPr>
            <w:r/>
            <w:r>
              <w:rPr>
                <w:rFonts w:ascii="Times New Roman" w:hAnsi="Times New Roman" w:eastAsia="Times New Roman"/>
                <w:b w:val="0"/>
                <w:i w:val="0"/>
                <w:sz w:val="18"/>
              </w:rPr>
              <w:t>0.057 ± 0.323</w:t>
            </w:r>
          </w:p>
        </w:tc>
      </w:tr>
      <w:tr>
        <w:tc>
          <w:tcPr>
            <w:tcW w:type="dxa" w:w="1872"/>
          </w:tcPr>
          <w:p>
            <w:pPr>
              <w:spacing w:after="0" w:before="0" w:line="240" w:lineRule="auto"/>
              <w:jc w:val="left"/>
            </w:pPr>
            <w:r/>
            <w:r>
              <w:rPr>
                <w:rFonts w:ascii="Times New Roman" w:hAnsi="Times New Roman" w:eastAsia="Times New Roman"/>
                <w:b w:val="0"/>
                <w:i w:val="0"/>
                <w:sz w:val="18"/>
              </w:rPr>
              <w:t>Shortage years (/42)</w:t>
            </w:r>
          </w:p>
        </w:tc>
        <w:tc>
          <w:tcPr>
            <w:tcW w:type="dxa" w:w="1872"/>
          </w:tcPr>
          <w:p>
            <w:pPr>
              <w:spacing w:after="0" w:before="0" w:line="240" w:lineRule="auto"/>
              <w:jc w:val="center"/>
            </w:pPr>
            <w:r/>
            <w:r>
              <w:rPr>
                <w:rFonts w:ascii="Times New Roman" w:hAnsi="Times New Roman" w:eastAsia="Times New Roman"/>
                <w:b w:val="0"/>
                <w:i w:val="0"/>
                <w:sz w:val="18"/>
              </w:rPr>
              <w:t>13.3 ± 1.5</w:t>
            </w:r>
          </w:p>
        </w:tc>
        <w:tc>
          <w:tcPr>
            <w:tcW w:type="dxa" w:w="1872"/>
          </w:tcPr>
          <w:p>
            <w:pPr>
              <w:spacing w:after="0" w:before="0" w:line="240" w:lineRule="auto"/>
              <w:jc w:val="center"/>
            </w:pPr>
            <w:r/>
            <w:r>
              <w:rPr>
                <w:rFonts w:ascii="Times New Roman" w:hAnsi="Times New Roman" w:eastAsia="Times New Roman"/>
                <w:b w:val="0"/>
                <w:i w:val="0"/>
                <w:sz w:val="18"/>
              </w:rPr>
              <w:t>5.0 ± 1.7</w:t>
            </w:r>
          </w:p>
        </w:tc>
        <w:tc>
          <w:tcPr>
            <w:tcW w:type="dxa" w:w="1872"/>
          </w:tcPr>
          <w:p>
            <w:pPr>
              <w:spacing w:after="0" w:before="0" w:line="240" w:lineRule="auto"/>
              <w:jc w:val="center"/>
            </w:pPr>
            <w:r/>
            <w:r>
              <w:rPr>
                <w:rFonts w:ascii="Times New Roman" w:hAnsi="Times New Roman" w:eastAsia="Times New Roman"/>
                <w:b w:val="0"/>
                <w:i w:val="0"/>
                <w:sz w:val="18"/>
              </w:rPr>
              <w:t>25.3 ± 1.5</w:t>
            </w:r>
          </w:p>
        </w:tc>
        <w:tc>
          <w:tcPr>
            <w:tcW w:type="dxa" w:w="1872"/>
          </w:tcPr>
          <w:p>
            <w:pPr>
              <w:spacing w:after="0" w:before="0" w:line="240" w:lineRule="auto"/>
              <w:jc w:val="center"/>
            </w:pPr>
            <w:r/>
            <w:r>
              <w:rPr>
                <w:rFonts w:ascii="Times New Roman" w:hAnsi="Times New Roman" w:eastAsia="Times New Roman"/>
                <w:b w:val="0"/>
                <w:i w:val="0"/>
                <w:sz w:val="18"/>
              </w:rPr>
              <w:t>24.7 ± 9.1</w:t>
            </w:r>
          </w:p>
        </w:tc>
      </w:tr>
      <w:tr>
        <w:tc>
          <w:tcPr>
            <w:tcW w:type="dxa" w:w="1872"/>
          </w:tcPr>
          <w:p>
            <w:pPr>
              <w:spacing w:after="0" w:before="0" w:line="240" w:lineRule="auto"/>
              <w:jc w:val="left"/>
            </w:pPr>
            <w:r/>
            <w:r>
              <w:rPr>
                <w:rFonts w:ascii="Times New Roman" w:hAnsi="Times New Roman" w:eastAsia="Times New Roman"/>
                <w:b w:val="0"/>
                <w:i w:val="0"/>
                <w:sz w:val="18"/>
              </w:rPr>
              <w:t>Min Mead elevation (ft)</w:t>
            </w:r>
          </w:p>
        </w:tc>
        <w:tc>
          <w:tcPr>
            <w:tcW w:type="dxa" w:w="1872"/>
          </w:tcPr>
          <w:p>
            <w:pPr>
              <w:spacing w:after="0" w:before="0" w:line="240" w:lineRule="auto"/>
              <w:jc w:val="center"/>
            </w:pPr>
            <w:r/>
            <w:r>
              <w:rPr>
                <w:rFonts w:ascii="Times New Roman" w:hAnsi="Times New Roman" w:eastAsia="Times New Roman"/>
                <w:b w:val="0"/>
                <w:i w:val="0"/>
                <w:sz w:val="18"/>
              </w:rPr>
              <w:t>1,002 ± 1</w:t>
            </w:r>
          </w:p>
        </w:tc>
        <w:tc>
          <w:tcPr>
            <w:tcW w:type="dxa" w:w="1872"/>
          </w:tcPr>
          <w:p>
            <w:pPr>
              <w:spacing w:after="0" w:before="0" w:line="240" w:lineRule="auto"/>
              <w:jc w:val="center"/>
            </w:pPr>
            <w:r/>
            <w:r>
              <w:rPr>
                <w:rFonts w:ascii="Times New Roman" w:hAnsi="Times New Roman" w:eastAsia="Times New Roman"/>
                <w:b w:val="0"/>
                <w:i w:val="0"/>
                <w:sz w:val="18"/>
              </w:rPr>
              <w:t>1,001 ± 0.4</w:t>
            </w:r>
          </w:p>
        </w:tc>
        <w:tc>
          <w:tcPr>
            <w:tcW w:type="dxa" w:w="1872"/>
          </w:tcPr>
          <w:p>
            <w:pPr>
              <w:spacing w:after="0" w:before="0" w:line="240" w:lineRule="auto"/>
              <w:jc w:val="center"/>
            </w:pPr>
            <w:r/>
            <w:r>
              <w:rPr>
                <w:rFonts w:ascii="Times New Roman" w:hAnsi="Times New Roman" w:eastAsia="Times New Roman"/>
                <w:b w:val="0"/>
                <w:i w:val="0"/>
                <w:sz w:val="18"/>
              </w:rPr>
              <w:t>984 ± 11</w:t>
            </w:r>
          </w:p>
        </w:tc>
        <w:tc>
          <w:tcPr>
            <w:tcW w:type="dxa" w:w="1872"/>
          </w:tcPr>
          <w:p>
            <w:pPr>
              <w:spacing w:after="0" w:before="0" w:line="240" w:lineRule="auto"/>
              <w:jc w:val="center"/>
            </w:pPr>
            <w:r/>
            <w:r>
              <w:rPr>
                <w:rFonts w:ascii="Times New Roman" w:hAnsi="Times New Roman" w:eastAsia="Times New Roman"/>
                <w:b w:val="0"/>
                <w:i w:val="0"/>
                <w:sz w:val="18"/>
              </w:rPr>
              <w:t>1,020 ± 4</w:t>
            </w:r>
          </w:p>
        </w:tc>
      </w:tr>
      <w:tr>
        <w:tc>
          <w:tcPr>
            <w:tcW w:type="dxa" w:w="1872"/>
          </w:tcPr>
          <w:p>
            <w:pPr>
              <w:spacing w:after="0" w:before="0" w:line="240" w:lineRule="auto"/>
              <w:jc w:val="left"/>
            </w:pPr>
            <w:r/>
            <w:r>
              <w:rPr>
                <w:rFonts w:ascii="Times New Roman" w:hAnsi="Times New Roman" w:eastAsia="Times New Roman"/>
                <w:b w:val="0"/>
                <w:i w:val="0"/>
                <w:sz w:val="18"/>
              </w:rPr>
              <w:t>Strategy diversity</w:t>
            </w:r>
          </w:p>
        </w:tc>
        <w:tc>
          <w:tcPr>
            <w:tcW w:type="dxa" w:w="1872"/>
          </w:tcPr>
          <w:p>
            <w:pPr>
              <w:spacing w:after="0" w:before="0" w:line="240" w:lineRule="auto"/>
              <w:jc w:val="center"/>
            </w:pPr>
            <w:r/>
            <w:r>
              <w:rPr>
                <w:rFonts w:ascii="Times New Roman" w:hAnsi="Times New Roman" w:eastAsia="Times New Roman"/>
                <w:b w:val="0"/>
                <w:i w:val="0"/>
                <w:sz w:val="18"/>
              </w:rPr>
              <w:t>0.738 ± 0.017</w:t>
            </w:r>
          </w:p>
        </w:tc>
        <w:tc>
          <w:tcPr>
            <w:tcW w:type="dxa" w:w="1872"/>
          </w:tcPr>
          <w:p>
            <w:pPr>
              <w:spacing w:after="0" w:before="0" w:line="240" w:lineRule="auto"/>
              <w:jc w:val="center"/>
            </w:pPr>
            <w:r/>
            <w:r>
              <w:rPr>
                <w:rFonts w:ascii="Times New Roman" w:hAnsi="Times New Roman" w:eastAsia="Times New Roman"/>
                <w:b w:val="0"/>
                <w:i w:val="0"/>
                <w:sz w:val="18"/>
              </w:rPr>
              <w:t>0.637 ± 0.017</w:t>
            </w:r>
          </w:p>
        </w:tc>
        <w:tc>
          <w:tcPr>
            <w:tcW w:type="dxa" w:w="1872"/>
          </w:tcPr>
          <w:p>
            <w:pPr>
              <w:spacing w:after="0" w:before="0" w:line="240" w:lineRule="auto"/>
              <w:jc w:val="center"/>
            </w:pPr>
            <w:r/>
            <w:r>
              <w:rPr>
                <w:rFonts w:ascii="Times New Roman" w:hAnsi="Times New Roman" w:eastAsia="Times New Roman"/>
                <w:b w:val="0"/>
                <w:i w:val="0"/>
                <w:sz w:val="18"/>
              </w:rPr>
              <w:t>0.793 ± 0.002</w:t>
            </w:r>
          </w:p>
        </w:tc>
        <w:tc>
          <w:tcPr>
            <w:tcW w:type="dxa" w:w="1872"/>
          </w:tcPr>
          <w:p>
            <w:pPr>
              <w:spacing w:after="0" w:before="0" w:line="240" w:lineRule="auto"/>
              <w:jc w:val="center"/>
            </w:pPr>
            <w:r/>
            <w:r>
              <w:rPr>
                <w:rFonts w:ascii="Times New Roman" w:hAnsi="Times New Roman" w:eastAsia="Times New Roman"/>
                <w:b w:val="0"/>
                <w:i w:val="0"/>
                <w:sz w:val="18"/>
              </w:rPr>
              <w:t>—</w:t>
            </w:r>
          </w:p>
        </w:tc>
      </w:tr>
      <w:tr>
        <w:tc>
          <w:tcPr>
            <w:tcW w:type="dxa" w:w="1872"/>
          </w:tcPr>
          <w:p>
            <w:pPr>
              <w:spacing w:after="0" w:before="0" w:line="240" w:lineRule="auto"/>
              <w:jc w:val="left"/>
            </w:pPr>
            <w:r/>
            <w:r>
              <w:rPr>
                <w:rFonts w:ascii="Times New Roman" w:hAnsi="Times New Roman" w:eastAsia="Times New Roman"/>
                <w:b w:val="0"/>
                <w:i w:val="0"/>
                <w:sz w:val="18"/>
              </w:rPr>
              <w:t>Behavioural Rationality (BRI, %)</w:t>
            </w:r>
          </w:p>
        </w:tc>
        <w:tc>
          <w:tcPr>
            <w:tcW w:type="dxa" w:w="1872"/>
          </w:tcPr>
          <w:p>
            <w:pPr>
              <w:spacing w:after="0" w:before="0" w:line="240" w:lineRule="auto"/>
              <w:jc w:val="center"/>
            </w:pPr>
            <w:r/>
            <w:r>
              <w:rPr>
                <w:rFonts w:ascii="Times New Roman" w:hAnsi="Times New Roman" w:eastAsia="Times New Roman"/>
                <w:b w:val="0"/>
                <w:i w:val="0"/>
                <w:sz w:val="18"/>
              </w:rPr>
              <w:t>58.0</w:t>
            </w:r>
          </w:p>
        </w:tc>
        <w:tc>
          <w:tcPr>
            <w:tcW w:type="dxa" w:w="1872"/>
          </w:tcPr>
          <w:p>
            <w:pPr>
              <w:spacing w:after="0" w:before="0" w:line="240" w:lineRule="auto"/>
              <w:jc w:val="center"/>
            </w:pPr>
            <w:r/>
            <w:r>
              <w:rPr>
                <w:rFonts w:ascii="Times New Roman" w:hAnsi="Times New Roman" w:eastAsia="Times New Roman"/>
                <w:b w:val="0"/>
                <w:i w:val="0"/>
                <w:sz w:val="18"/>
              </w:rPr>
              <w:t>9.4</w:t>
            </w:r>
          </w:p>
        </w:tc>
        <w:tc>
          <w:tcPr>
            <w:tcW w:type="dxa" w:w="1872"/>
          </w:tcPr>
          <w:p>
            <w:pPr>
              <w:spacing w:after="0" w:before="0" w:line="240" w:lineRule="auto"/>
              <w:jc w:val="center"/>
            </w:pPr>
            <w:r/>
            <w:r>
              <w:rPr>
                <w:rFonts w:ascii="Times New Roman" w:hAnsi="Times New Roman" w:eastAsia="Times New Roman"/>
                <w:b w:val="0"/>
                <w:i w:val="0"/>
                <w:sz w:val="18"/>
              </w:rPr>
              <w:t>—</w:t>
            </w:r>
          </w:p>
        </w:tc>
        <w:tc>
          <w:tcPr>
            <w:tcW w:type="dxa" w:w="1872"/>
          </w:tcPr>
          <w:p>
            <w:pPr>
              <w:spacing w:after="0" w:before="0" w:line="240" w:lineRule="auto"/>
              <w:jc w:val="center"/>
            </w:pPr>
            <w:r/>
            <w:r>
              <w:rPr>
                <w:rFonts w:ascii="Times New Roman" w:hAnsi="Times New Roman" w:eastAsia="Times New Roman"/>
                <w:b w:val="0"/>
                <w:i w:val="0"/>
                <w:sz w:val="18"/>
              </w:rPr>
              <w:t>—</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Strategy diversity = normalized Shannon entropy H/log₂(k) over k action types (0 = all agents choose the same action; 1 = actions uniformly distributed; see Methods). BRI = Behavioural Rationality Index, the fraction of high-scarcity decisions where agents did not increase demand (null expectation under uniform random = 60%; see Methods for relationship to IBR used in the flood domain). A1 removes the demand-ceiling stabilizer only (see next section). FQL uses the same reservoir model and governance validators but replaces natural-language reasoning with a Q-learning decision kernel (2-action: increase/decrease); strategy diversity and BRI are not computed because 84–89% of FQL actions resulted from validator blocking rather than agent choice (Supplementary Note 11). See Supplementary Table 6 for additional water-system metrics.</w:t>
      </w:r>
    </w:p>
    <w:p>
      <w:pPr>
        <w:spacing w:after="80" w:before="240" w:line="480" w:lineRule="auto"/>
        <w:jc w:val="left"/>
      </w:pPr>
      <w:r>
        <w:rPr>
          <w:rFonts w:ascii="Times New Roman" w:hAnsi="Times New Roman" w:eastAsia="Times New Roman"/>
          <w:b/>
          <w:i/>
          <w:sz w:val="22"/>
        </w:rPr>
        <w:t>A single institutional rule couples individual decisions to basin-wide drought</w:t>
      </w:r>
    </w:p>
    <w:p>
      <w:pPr>
        <w:spacing w:after="0" w:before="0" w:line="480" w:lineRule="auto"/>
        <w:ind w:firstLine="432"/>
        <w:jc w:val="both"/>
      </w:pPr>
      <w:r>
        <w:rPr>
          <w:rFonts w:ascii="Times New Roman" w:hAnsi="Times New Roman" w:eastAsia="Times New Roman"/>
          <w:b w:val="0"/>
          <w:i w:val="0"/>
          <w:sz w:val="22"/>
        </w:rPr>
        <w:t>To identify which institutional rules create the coupling between individual decisions and reservoir state, we removed a single validator — the demand ceiling stabilizer, which blocks demand-increase proposals when aggregate basin demand exceeds 6.0 million acre-feet (MAF) — while retaining all eleven other validators (condition A1; see Methods).</w:t>
      </w:r>
    </w:p>
    <w:p>
      <w:pPr>
        <w:spacing w:after="0" w:before="0" w:line="480" w:lineRule="auto"/>
        <w:ind w:firstLine="432"/>
        <w:jc w:val="both"/>
      </w:pPr>
      <w:r>
        <w:rPr>
          <w:rFonts w:ascii="Times New Roman" w:hAnsi="Times New Roman" w:eastAsia="Times New Roman"/>
          <w:b w:val="0"/>
          <w:i w:val="0"/>
          <w:sz w:val="22"/>
        </w:rPr>
        <w:t xml:space="preserve">Removing this one rule of twelve collapsed demand–Mead coupling from r = 0.547 to 0.234, nearly doubled shortage years from 13.3 to 25.3, and dropped minimum Mead elevation to 984 ft below the Tier 3 shortage threshold (Table 1, A1 column). Yet removing the ceiling </w:t>
      </w:r>
      <w:r>
        <w:rPr>
          <w:rFonts w:ascii="Times New Roman" w:hAnsi="Times New Roman" w:eastAsia="Times New Roman"/>
          <w:b w:val="0"/>
          <w:i/>
          <w:sz w:val="22"/>
        </w:rPr>
        <w:t>increased</w:t>
      </w:r>
      <w:r>
        <w:rPr>
          <w:rFonts w:ascii="Times New Roman" w:hAnsi="Times New Roman" w:eastAsia="Times New Roman"/>
          <w:b w:val="0"/>
          <w:i w:val="0"/>
          <w:sz w:val="22"/>
        </w:rPr>
        <w:t xml:space="preserve"> strategy diversity from 0.738 to 0.793. Agents diversified further — but into extraction patterns decoupled from drought signals, producing higher demand ratios (0.440 versus 0.394) with weaker environmental responsiveness.</w:t>
      </w:r>
    </w:p>
    <w:p>
      <w:pPr>
        <w:spacing w:after="0" w:before="0" w:line="480" w:lineRule="auto"/>
        <w:ind w:firstLine="432"/>
        <w:jc w:val="both"/>
      </w:pPr>
      <w:r>
        <w:rPr>
          <w:rFonts w:ascii="Times New Roman" w:hAnsi="Times New Roman" w:eastAsia="Times New Roman"/>
          <w:b w:val="0"/>
          <w:i w:val="0"/>
          <w:sz w:val="22"/>
        </w:rPr>
        <w:t xml:space="preserve">This establishes a distinction central to interpreting the governance effect: between </w:t>
      </w:r>
      <w:r>
        <w:rPr>
          <w:rFonts w:ascii="Times New Roman" w:hAnsi="Times New Roman" w:eastAsia="Times New Roman"/>
          <w:b w:val="0"/>
          <w:i/>
          <w:sz w:val="22"/>
        </w:rPr>
        <w:t>diversity</w:t>
      </w:r>
      <w:r>
        <w:rPr>
          <w:rFonts w:ascii="Times New Roman" w:hAnsi="Times New Roman" w:eastAsia="Times New Roman"/>
          <w:b w:val="0"/>
          <w:i w:val="0"/>
          <w:sz w:val="22"/>
        </w:rPr>
        <w:t xml:space="preserve"> (a wider action distribution) and </w:t>
      </w:r>
      <w:r>
        <w:rPr>
          <w:rFonts w:ascii="Times New Roman" w:hAnsi="Times New Roman" w:eastAsia="Times New Roman"/>
          <w:b w:val="0"/>
          <w:i/>
          <w:sz w:val="22"/>
        </w:rPr>
        <w:t>adaptive diversity</w:t>
      </w:r>
      <w:r>
        <w:rPr>
          <w:rFonts w:ascii="Times New Roman" w:hAnsi="Times New Roman" w:eastAsia="Times New Roman"/>
          <w:b w:val="0"/>
          <w:i w:val="0"/>
          <w:sz w:val="22"/>
        </w:rPr>
        <w:t xml:space="preserve">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spacing w:after="0" w:before="0" w:line="480" w:lineRule="auto"/>
        <w:ind w:firstLine="432"/>
        <w:jc w:val="both"/>
      </w:pPr>
      <w:r>
        <w:rPr>
          <w:rFonts w:ascii="Times New Roman" w:hAnsi="Times New Roman" w:eastAsia="Times New Roman"/>
          <w:b w:val="0"/>
          <w:i w:val="0"/>
          <w:sz w:val="22"/>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spacing w:after="80" w:before="240" w:line="480" w:lineRule="auto"/>
        <w:jc w:val="left"/>
      </w:pPr>
      <w:r>
        <w:rPr>
          <w:rFonts w:ascii="Times New Roman" w:hAnsi="Times New Roman" w:eastAsia="Times New Roman"/>
          <w:b/>
          <w:i/>
          <w:sz w:val="22"/>
        </w:rPr>
        <w:t>Governance generates strategy diversity beyond what hand-coded models can represent</w:t>
      </w:r>
    </w:p>
    <w:p>
      <w:pPr>
        <w:spacing w:after="0" w:before="0" w:line="480" w:lineRule="auto"/>
        <w:ind w:firstLine="432"/>
        <w:jc w:val="both"/>
      </w:pPr>
      <w:r>
        <w:rPr>
          <w:rFonts w:ascii="Times New Roman" w:hAnsi="Times New Roman" w:eastAsia="Times New Roman"/>
          <w:b w:val="0"/>
          <w:i w:val="0"/>
          <w:sz w:val="22"/>
        </w:rPr>
        <w:t>Governed agents exhibited higher strategy diversity than both ungoverned agents and a hand-coded Protection Motivation Theory baseline across both water domains. In irrigation, governed strategy diversity (0.738 ± 0.017) exceeded ungoverned (0.637 ± 0.017) with zero distributional overlap across three seeds (Table 1). In flood adaptation, the ordering was consistent: governed language agents (0.636 ± 0.044) exceeded rule-based PMT agents (0.486 ± 0.011), which exceeded ungoverned language agents (0.307 ± 0.059; Table 2). Ungoverned agents collapsed into behavioural monoculture: 77–82% demand increases in irrigation, 85.9% inaction in flood.</w:t>
      </w:r>
    </w:p>
    <w:p>
      <w:pPr>
        <w:spacing w:after="0" w:before="0" w:line="480" w:lineRule="auto"/>
        <w:ind w:firstLine="432"/>
        <w:jc w:val="both"/>
      </w:pPr>
      <w:r>
        <w:rPr>
          <w:rFonts w:ascii="Times New Roman" w:hAnsi="Times New Roman" w:eastAsia="Times New Roman"/>
          <w:b w:val="0"/>
          <w:i w:val="0"/>
          <w:sz w:val="22"/>
        </w:rPr>
        <w:t>This diversity is generated by agents reasoning within governance, not filtered into existence by validators. Proposals submitted before any governance feedback already showed higher diversity (first-attempt strategy diversity 0.761 governed versus 0.640 ungoverned; irrigation domain), confirming that the governance context shapes the reasoning process, rather than diversity being created post hoc by the rejection-retry mechanism (see Supplementary Information for retry statistics).</w:t>
      </w:r>
    </w:p>
    <w:p>
      <w:pPr>
        <w:spacing w:after="0" w:before="0" w:line="480" w:lineRule="auto"/>
        <w:ind w:firstLine="432"/>
        <w:jc w:val="both"/>
      </w:pPr>
      <w:r>
        <w:rPr>
          <w:rFonts w:ascii="Times New Roman" w:hAnsi="Times New Roman" w:eastAsia="Times New Roman"/>
          <w:b w:val="0"/>
          <w:i w:val="0"/>
          <w:sz w:val="22"/>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actions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(Supplementary Tables 3–5 present full reasoning traces and a taxonomy of 10 distinct cognitive frames). This is not a marginal improvement in the same representational format; it is a shift from parameterized homogeneity to reasoning-generated heterogeneity.</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2. Strategy diversity: governed LLM vs rule-based PMT vs ungoverned LLM (flood domain, Gemma-3 4B, 100 agents × 10 years, 3 runs each).</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8E8E8" w:val="clear"/>
          </w:tcPr>
          <w:p>
            <w:pPr>
              <w:spacing w:after="0" w:before="0" w:line="240" w:lineRule="auto"/>
              <w:jc w:val="center"/>
            </w:pPr>
            <w:r/>
            <w:r>
              <w:rPr>
                <w:rFonts w:ascii="Times New Roman" w:hAnsi="Times New Roman" w:eastAsia="Times New Roman"/>
                <w:b/>
                <w:i w:val="0"/>
                <w:sz w:val="18"/>
              </w:rPr>
              <w:t>Condition</w:t>
            </w:r>
          </w:p>
        </w:tc>
        <w:tc>
          <w:tcPr>
            <w:tcW w:type="dxa" w:w="1337"/>
            <w:shd w:fill="E8E8E8" w:val="clear"/>
          </w:tcPr>
          <w:p>
            <w:pPr>
              <w:spacing w:after="0" w:before="0" w:line="240" w:lineRule="auto"/>
              <w:jc w:val="center"/>
            </w:pPr>
            <w:r/>
            <w:r>
              <w:rPr>
                <w:rFonts w:ascii="Times New Roman" w:hAnsi="Times New Roman" w:eastAsia="Times New Roman"/>
                <w:b/>
                <w:i w:val="0"/>
                <w:sz w:val="18"/>
              </w:rPr>
              <w:t>Strategy diversity</w:t>
            </w:r>
          </w:p>
        </w:tc>
        <w:tc>
          <w:tcPr>
            <w:tcW w:type="dxa" w:w="1337"/>
            <w:shd w:fill="E8E8E8" w:val="clear"/>
          </w:tcPr>
          <w:p>
            <w:pPr>
              <w:spacing w:after="0" w:before="0" w:line="240" w:lineRule="auto"/>
              <w:jc w:val="center"/>
            </w:pPr>
            <w:r/>
            <w:r>
              <w:rPr>
                <w:rFonts w:ascii="Times New Roman" w:hAnsi="Times New Roman" w:eastAsia="Times New Roman"/>
                <w:b/>
                <w:i w:val="0"/>
                <w:sz w:val="18"/>
              </w:rPr>
              <w:t>IBR (%)</w:t>
            </w:r>
          </w:p>
        </w:tc>
        <w:tc>
          <w:tcPr>
            <w:tcW w:type="dxa" w:w="1337"/>
            <w:shd w:fill="E8E8E8" w:val="clear"/>
          </w:tcPr>
          <w:p>
            <w:pPr>
              <w:spacing w:after="0" w:before="0" w:line="240" w:lineRule="auto"/>
              <w:jc w:val="center"/>
            </w:pPr>
            <w:r/>
            <w:r>
              <w:rPr>
                <w:rFonts w:ascii="Times New Roman" w:hAnsi="Times New Roman" w:eastAsia="Times New Roman"/>
                <w:b/>
                <w:i w:val="0"/>
                <w:sz w:val="18"/>
              </w:rPr>
              <w:t>do_nothing (%)</w:t>
            </w:r>
          </w:p>
        </w:tc>
        <w:tc>
          <w:tcPr>
            <w:tcW w:type="dxa" w:w="1337"/>
            <w:shd w:fill="E8E8E8" w:val="clear"/>
          </w:tcPr>
          <w:p>
            <w:pPr>
              <w:spacing w:after="0" w:before="0" w:line="240" w:lineRule="auto"/>
              <w:jc w:val="center"/>
            </w:pPr>
            <w:r/>
            <w:r>
              <w:rPr>
                <w:rFonts w:ascii="Times New Roman" w:hAnsi="Times New Roman" w:eastAsia="Times New Roman"/>
                <w:b/>
                <w:i w:val="0"/>
                <w:sz w:val="18"/>
              </w:rPr>
              <w:t>insurance (%)</w:t>
            </w:r>
          </w:p>
        </w:tc>
        <w:tc>
          <w:tcPr>
            <w:tcW w:type="dxa" w:w="1337"/>
            <w:shd w:fill="E8E8E8" w:val="clear"/>
          </w:tcPr>
          <w:p>
            <w:pPr>
              <w:spacing w:after="0" w:before="0" w:line="240" w:lineRule="auto"/>
              <w:jc w:val="center"/>
            </w:pPr>
            <w:r/>
            <w:r>
              <w:rPr>
                <w:rFonts w:ascii="Times New Roman" w:hAnsi="Times New Roman" w:eastAsia="Times New Roman"/>
                <w:b/>
                <w:i w:val="0"/>
                <w:sz w:val="18"/>
              </w:rPr>
              <w:t>elevation (%)</w:t>
            </w:r>
          </w:p>
        </w:tc>
        <w:tc>
          <w:tcPr>
            <w:tcW w:type="dxa" w:w="1337"/>
            <w:shd w:fill="E8E8E8" w:val="clear"/>
          </w:tcPr>
          <w:p>
            <w:pPr>
              <w:spacing w:after="0" w:before="0" w:line="240" w:lineRule="auto"/>
              <w:jc w:val="center"/>
            </w:pPr>
            <w:r/>
            <w:r>
              <w:rPr>
                <w:rFonts w:ascii="Times New Roman" w:hAnsi="Times New Roman" w:eastAsia="Times New Roman"/>
                <w:b/>
                <w:i w:val="0"/>
                <w:sz w:val="18"/>
              </w:rPr>
              <w:t>relocation (%)</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0.636 ± 0.044</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0.86</w:t>
            </w:r>
          </w:p>
        </w:tc>
        <w:tc>
          <w:tcPr>
            <w:tcW w:type="dxa" w:w="1337"/>
          </w:tcPr>
          <w:p>
            <w:pPr>
              <w:spacing w:after="0" w:before="0" w:line="240" w:lineRule="auto"/>
              <w:jc w:val="center"/>
            </w:pPr>
            <w:r/>
            <w:r>
              <w:rPr>
                <w:rFonts w:ascii="Times New Roman" w:hAnsi="Times New Roman" w:eastAsia="Times New Roman"/>
                <w:b w:val="0"/>
                <w:i w:val="0"/>
                <w:sz w:val="18"/>
              </w:rPr>
              <w:t>35.6</w:t>
            </w:r>
          </w:p>
        </w:tc>
        <w:tc>
          <w:tcPr>
            <w:tcW w:type="dxa" w:w="1337"/>
          </w:tcPr>
          <w:p>
            <w:pPr>
              <w:spacing w:after="0" w:before="0" w:line="240" w:lineRule="auto"/>
              <w:jc w:val="center"/>
            </w:pPr>
            <w:r/>
            <w:r>
              <w:rPr>
                <w:rFonts w:ascii="Times New Roman" w:hAnsi="Times New Roman" w:eastAsia="Times New Roman"/>
                <w:b w:val="0"/>
                <w:i w:val="0"/>
                <w:sz w:val="18"/>
              </w:rPr>
              <w:t>50.7</w:t>
            </w:r>
          </w:p>
        </w:tc>
        <w:tc>
          <w:tcPr>
            <w:tcW w:type="dxa" w:w="1337"/>
          </w:tcPr>
          <w:p>
            <w:pPr>
              <w:spacing w:after="0" w:before="0" w:line="240" w:lineRule="auto"/>
              <w:jc w:val="center"/>
            </w:pPr>
            <w:r/>
            <w:r>
              <w:rPr>
                <w:rFonts w:ascii="Times New Roman" w:hAnsi="Times New Roman" w:eastAsia="Times New Roman"/>
                <w:b w:val="0"/>
                <w:i w:val="0"/>
                <w:sz w:val="18"/>
              </w:rPr>
              <w:t>10.6</w:t>
            </w:r>
          </w:p>
        </w:tc>
        <w:tc>
          <w:tcPr>
            <w:tcW w:type="dxa" w:w="1337"/>
          </w:tcPr>
          <w:p>
            <w:pPr>
              <w:spacing w:after="0" w:before="0" w:line="240" w:lineRule="auto"/>
              <w:jc w:val="center"/>
            </w:pPr>
            <w:r/>
            <w:r>
              <w:rPr>
                <w:rFonts w:ascii="Times New Roman" w:hAnsi="Times New Roman" w:eastAsia="Times New Roman"/>
                <w:b w:val="0"/>
                <w:i w:val="0"/>
                <w:sz w:val="18"/>
              </w:rPr>
              <w:t>3.0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Rule-based PMT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0.486 ± 0.011</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0.0</w:t>
            </w:r>
          </w:p>
        </w:tc>
        <w:tc>
          <w:tcPr>
            <w:tcW w:type="dxa" w:w="1337"/>
          </w:tcPr>
          <w:p>
            <w:pPr>
              <w:spacing w:after="0" w:before="0" w:line="240" w:lineRule="auto"/>
              <w:jc w:val="center"/>
            </w:pPr>
            <w:r/>
            <w:r>
              <w:rPr>
                <w:rFonts w:ascii="Times New Roman" w:hAnsi="Times New Roman" w:eastAsia="Times New Roman"/>
                <w:b w:val="0"/>
                <w:i w:val="0"/>
                <w:sz w:val="18"/>
              </w:rPr>
              <w:t>69.7</w:t>
            </w:r>
          </w:p>
        </w:tc>
        <w:tc>
          <w:tcPr>
            <w:tcW w:type="dxa" w:w="1337"/>
          </w:tcPr>
          <w:p>
            <w:pPr>
              <w:spacing w:after="0" w:before="0" w:line="240" w:lineRule="auto"/>
              <w:jc w:val="center"/>
            </w:pPr>
            <w:r/>
            <w:r>
              <w:rPr>
                <w:rFonts w:ascii="Times New Roman" w:hAnsi="Times New Roman" w:eastAsia="Times New Roman"/>
                <w:b w:val="0"/>
                <w:i w:val="0"/>
                <w:sz w:val="18"/>
              </w:rPr>
              <w:t>21.3</w:t>
            </w:r>
          </w:p>
        </w:tc>
        <w:tc>
          <w:tcPr>
            <w:tcW w:type="dxa" w:w="1337"/>
          </w:tcPr>
          <w:p>
            <w:pPr>
              <w:spacing w:after="0" w:before="0" w:line="240" w:lineRule="auto"/>
              <w:jc w:val="center"/>
            </w:pPr>
            <w:r/>
            <w:r>
              <w:rPr>
                <w:rFonts w:ascii="Times New Roman" w:hAnsi="Times New Roman" w:eastAsia="Times New Roman"/>
                <w:b w:val="0"/>
                <w:i w:val="0"/>
                <w:sz w:val="18"/>
              </w:rPr>
              <w:t>8.7</w:t>
            </w:r>
          </w:p>
        </w:tc>
        <w:tc>
          <w:tcPr>
            <w:tcW w:type="dxa" w:w="1337"/>
          </w:tcPr>
          <w:p>
            <w:pPr>
              <w:spacing w:after="0" w:before="0" w:line="240" w:lineRule="auto"/>
              <w:jc w:val="center"/>
            </w:pPr>
            <w:r/>
            <w:r>
              <w:rPr>
                <w:rFonts w:ascii="Times New Roman" w:hAnsi="Times New Roman" w:eastAsia="Times New Roman"/>
                <w:b w:val="0"/>
                <w:i w:val="0"/>
                <w:sz w:val="18"/>
              </w:rPr>
              <w:t>0.0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Ungoverned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0.307 ± 0.059</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1.15</w:t>
            </w:r>
          </w:p>
        </w:tc>
        <w:tc>
          <w:tcPr>
            <w:tcW w:type="dxa" w:w="1337"/>
          </w:tcPr>
          <w:p>
            <w:pPr>
              <w:spacing w:after="0" w:before="0" w:line="240" w:lineRule="auto"/>
              <w:jc w:val="center"/>
            </w:pPr>
            <w:r/>
            <w:r>
              <w:rPr>
                <w:rFonts w:ascii="Times New Roman" w:hAnsi="Times New Roman" w:eastAsia="Times New Roman"/>
                <w:b w:val="0"/>
                <w:i w:val="0"/>
                <w:sz w:val="18"/>
              </w:rPr>
              <w:t>85.9</w:t>
            </w:r>
          </w:p>
        </w:tc>
        <w:tc>
          <w:tcPr>
            <w:tcW w:type="dxa" w:w="1337"/>
          </w:tcPr>
          <w:p>
            <w:pPr>
              <w:spacing w:after="0" w:before="0" w:line="240" w:lineRule="auto"/>
              <w:jc w:val="center"/>
            </w:pPr>
            <w:r/>
            <w:r>
              <w:rPr>
                <w:rFonts w:ascii="Times New Roman" w:hAnsi="Times New Roman" w:eastAsia="Times New Roman"/>
                <w:b w:val="0"/>
                <w:i w:val="0"/>
                <w:sz w:val="18"/>
              </w:rPr>
              <w:t>11.7</w:t>
            </w:r>
          </w:p>
        </w:tc>
        <w:tc>
          <w:tcPr>
            <w:tcW w:type="dxa" w:w="1337"/>
          </w:tcPr>
          <w:p>
            <w:pPr>
              <w:spacing w:after="0" w:before="0" w:line="240" w:lineRule="auto"/>
              <w:jc w:val="center"/>
            </w:pPr>
            <w:r/>
            <w:r>
              <w:rPr>
                <w:rFonts w:ascii="Times New Roman" w:hAnsi="Times New Roman" w:eastAsia="Times New Roman"/>
                <w:b w:val="0"/>
                <w:i w:val="0"/>
                <w:sz w:val="18"/>
              </w:rPr>
              <w:t>2.3</w:t>
            </w:r>
          </w:p>
        </w:tc>
        <w:tc>
          <w:tcPr>
            <w:tcW w:type="dxa" w:w="1337"/>
          </w:tcPr>
          <w:p>
            <w:pPr>
              <w:spacing w:after="0" w:before="0" w:line="240" w:lineRule="auto"/>
              <w:jc w:val="center"/>
            </w:pPr>
            <w:r/>
            <w:r>
              <w:rPr>
                <w:rFonts w:ascii="Times New Roman" w:hAnsi="Times New Roman" w:eastAsia="Times New Roman"/>
                <w:b w:val="0"/>
                <w:i w:val="0"/>
                <w:sz w:val="18"/>
              </w:rPr>
              <w:t>0.0</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Strategy diversity = mean of per-year normalized Shannon entropy H/log₂(k) over active years (0 = monoculture; 1 = uniform); mean ± s.d. over 3 runs. Action percentages for rule-based agents are computed from yearly state transitions (new actions only); combined insurance-and-elevation events (&lt;1%) are counted as elevation. IBR = Irrational Behavior Rate: fraction of decisions classified as physically impossible or inconsistent with the agent's own threat perception via posthoc PMT rules (see Methods). Rule-based agent uses deterministic PMT threshold logic with parameterized agent heterogeneity. Post-relocation agent-years excluded.</w:t>
      </w:r>
    </w:p>
    <w:p>
      <w:pPr>
        <w:spacing w:after="80" w:before="240" w:line="480" w:lineRule="auto"/>
        <w:jc w:val="left"/>
      </w:pPr>
      <w:r>
        <w:rPr>
          <w:rFonts w:ascii="Times New Roman" w:hAnsi="Times New Roman" w:eastAsia="Times New Roman"/>
          <w:b/>
          <w:i/>
          <w:sz w:val="22"/>
        </w:rPr>
        <w:t>The governance effect generalizes across water hazard types and model architectures</w:t>
      </w:r>
    </w:p>
    <w:p>
      <w:pPr>
        <w:spacing w:after="0" w:before="0" w:line="480" w:lineRule="auto"/>
        <w:ind w:firstLine="432"/>
        <w:jc w:val="both"/>
      </w:pPr>
      <w:r>
        <w:rPr>
          <w:rFonts w:ascii="Times New Roman" w:hAnsi="Times New Roman" w:eastAsia="Times New Roman"/>
          <w:b w:val="0"/>
          <w:i w:val="0"/>
          <w:sz w:val="22"/>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reduced irrational behaviour rates for four of six models (p &lt; 0.01), with directionally consistent reductions in all six (IBR = 0.1–1.7% governed versus 0.8–11.6% ungoverned; Supplementary Table 1). The largest reductions occurred in models exhibiting the highest ungoverned violation rates (Ministral 14B: 11.6% → 0.4%; Ministral 3B: 8.9% → 1.7%).</w:t>
      </w:r>
    </w:p>
    <w:p>
      <w:pPr>
        <w:spacing w:after="0" w:before="0" w:line="480" w:lineRule="auto"/>
        <w:ind w:firstLine="432"/>
        <w:jc w:val="both"/>
      </w:pPr>
      <w:r>
        <w:rPr>
          <w:rFonts w:ascii="Times New Roman" w:hAnsi="Times New Roman" w:eastAsia="Times New Roman"/>
          <w:b w:val="0"/>
          <w:i w:val="0"/>
          <w:sz w:val="22"/>
        </w:rPr>
        <w:t>Six models spanning two families and three parameter scales showed positive governance effects on strategy diversity for five of six models, with three statistically significant (Table 3). The effect was strongest where ungoverned agents exhibited behavioural monoculture: Gemma-3 4B (Δ = +0.329) and Ministral 3B (+0.198). Three models produced non-significant effects: Gemma-3 12B (+0.027), Ministral 14B (+0.034), and Ministral 8B (−0.024), reflecting stronger baseline diversity at larger scales that left less room for governance to expand (see SI for model-specific discussion).</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3. Governance effect on strategy diversity across six language models (flood domain, 100 agents × 10 years, 3 runs per condition).</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Model</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Delta</w:t>
            </w:r>
          </w:p>
        </w:tc>
        <w:tc>
          <w:tcPr>
            <w:tcW w:type="dxa" w:w="1872"/>
            <w:shd w:fill="E8E8E8" w:val="clear"/>
          </w:tcPr>
          <w:p>
            <w:pPr>
              <w:spacing w:after="0" w:before="0" w:line="240" w:lineRule="auto"/>
              <w:jc w:val="center"/>
            </w:pPr>
            <w:r/>
            <w:r>
              <w:rPr>
                <w:rFonts w:ascii="Times New Roman" w:hAnsi="Times New Roman" w:eastAsia="Times New Roman"/>
                <w:b/>
                <w:i w:val="0"/>
                <w:sz w:val="18"/>
              </w:rPr>
              <w:t>95% CI</w:t>
            </w:r>
          </w:p>
        </w:tc>
      </w:tr>
      <w:tr>
        <w:tc>
          <w:tcPr>
            <w:tcW w:type="dxa" w:w="1872"/>
          </w:tcPr>
          <w:p>
            <w:pPr>
              <w:spacing w:after="0" w:before="0" w:line="240" w:lineRule="auto"/>
              <w:jc w:val="left"/>
            </w:pPr>
            <w:r/>
            <w:r>
              <w:rPr>
                <w:rFonts w:ascii="Times New Roman" w:hAnsi="Times New Roman" w:eastAsia="Times New Roman"/>
                <w:b w:val="0"/>
                <w:i w:val="0"/>
                <w:sz w:val="18"/>
              </w:rPr>
              <w:t>Gemma-3 4B</w:t>
            </w:r>
          </w:p>
        </w:tc>
        <w:tc>
          <w:tcPr>
            <w:tcW w:type="dxa" w:w="1872"/>
          </w:tcPr>
          <w:p>
            <w:pPr>
              <w:spacing w:after="0" w:before="0" w:line="240" w:lineRule="auto"/>
              <w:jc w:val="center"/>
            </w:pPr>
            <w:r/>
            <w:r>
              <w:rPr>
                <w:rFonts w:ascii="Times New Roman" w:hAnsi="Times New Roman" w:eastAsia="Times New Roman"/>
                <w:b w:val="0"/>
                <w:i w:val="0"/>
                <w:sz w:val="18"/>
              </w:rPr>
              <w:t>0.307 ± 0.059</w:t>
            </w:r>
          </w:p>
        </w:tc>
        <w:tc>
          <w:tcPr>
            <w:tcW w:type="dxa" w:w="1872"/>
          </w:tcPr>
          <w:p>
            <w:pPr>
              <w:spacing w:after="0" w:before="0" w:line="240" w:lineRule="auto"/>
              <w:jc w:val="center"/>
            </w:pPr>
            <w:r/>
            <w:r>
              <w:rPr>
                <w:rFonts w:ascii="Times New Roman" w:hAnsi="Times New Roman" w:eastAsia="Times New Roman"/>
                <w:b w:val="0"/>
                <w:i w:val="0"/>
                <w:sz w:val="18"/>
              </w:rPr>
              <w:t>0.636 ± 0.044</w:t>
            </w:r>
          </w:p>
        </w:tc>
        <w:tc>
          <w:tcPr>
            <w:tcW w:type="dxa" w:w="1872"/>
          </w:tcPr>
          <w:p>
            <w:pPr>
              <w:spacing w:after="0" w:before="0" w:line="240" w:lineRule="auto"/>
              <w:jc w:val="center"/>
            </w:pPr>
            <w:r/>
            <w:r>
              <w:rPr>
                <w:rFonts w:ascii="Times New Roman" w:hAnsi="Times New Roman" w:eastAsia="Times New Roman"/>
                <w:b w:val="0"/>
                <w:i w:val="0"/>
                <w:sz w:val="18"/>
              </w:rPr>
              <w:t>+0.329</w:t>
            </w:r>
          </w:p>
        </w:tc>
        <w:tc>
          <w:tcPr>
            <w:tcW w:type="dxa" w:w="1872"/>
          </w:tcPr>
          <w:p>
            <w:pPr>
              <w:spacing w:after="0" w:before="0" w:line="240" w:lineRule="auto"/>
              <w:jc w:val="center"/>
            </w:pPr>
            <w:r/>
            <w:r>
              <w:rPr>
                <w:rFonts w:ascii="Times New Roman" w:hAnsi="Times New Roman" w:eastAsia="Times New Roman"/>
                <w:b w:val="0"/>
                <w:i w:val="0"/>
                <w:sz w:val="18"/>
              </w:rPr>
              <w:t>[+0.207, +0.450]</w:t>
            </w:r>
          </w:p>
        </w:tc>
      </w:tr>
      <w:tr>
        <w:tc>
          <w:tcPr>
            <w:tcW w:type="dxa" w:w="1872"/>
          </w:tcPr>
          <w:p>
            <w:pPr>
              <w:spacing w:after="0" w:before="0" w:line="240" w:lineRule="auto"/>
              <w:jc w:val="left"/>
            </w:pPr>
            <w:r/>
            <w:r>
              <w:rPr>
                <w:rFonts w:ascii="Times New Roman" w:hAnsi="Times New Roman" w:eastAsia="Times New Roman"/>
                <w:b w:val="0"/>
                <w:i w:val="0"/>
                <w:sz w:val="18"/>
              </w:rPr>
              <w:t>Gemma-3 12B</w:t>
            </w:r>
          </w:p>
        </w:tc>
        <w:tc>
          <w:tcPr>
            <w:tcW w:type="dxa" w:w="1872"/>
          </w:tcPr>
          <w:p>
            <w:pPr>
              <w:spacing w:after="0" w:before="0" w:line="240" w:lineRule="auto"/>
              <w:jc w:val="center"/>
            </w:pPr>
            <w:r/>
            <w:r>
              <w:rPr>
                <w:rFonts w:ascii="Times New Roman" w:hAnsi="Times New Roman" w:eastAsia="Times New Roman"/>
                <w:b w:val="0"/>
                <w:i w:val="0"/>
                <w:sz w:val="18"/>
              </w:rPr>
              <w:t>0.282 ± 0.012</w:t>
            </w:r>
          </w:p>
        </w:tc>
        <w:tc>
          <w:tcPr>
            <w:tcW w:type="dxa" w:w="1872"/>
          </w:tcPr>
          <w:p>
            <w:pPr>
              <w:spacing w:after="0" w:before="0" w:line="240" w:lineRule="auto"/>
              <w:jc w:val="center"/>
            </w:pPr>
            <w:r/>
            <w:r>
              <w:rPr>
                <w:rFonts w:ascii="Times New Roman" w:hAnsi="Times New Roman" w:eastAsia="Times New Roman"/>
                <w:b w:val="0"/>
                <w:i w:val="0"/>
                <w:sz w:val="18"/>
              </w:rPr>
              <w:t>0.310 ± 0.048</w:t>
            </w:r>
          </w:p>
        </w:tc>
        <w:tc>
          <w:tcPr>
            <w:tcW w:type="dxa" w:w="1872"/>
          </w:tcPr>
          <w:p>
            <w:pPr>
              <w:spacing w:after="0" w:before="0" w:line="240" w:lineRule="auto"/>
              <w:jc w:val="center"/>
            </w:pPr>
            <w:r/>
            <w:r>
              <w:rPr>
                <w:rFonts w:ascii="Times New Roman" w:hAnsi="Times New Roman" w:eastAsia="Times New Roman"/>
                <w:b w:val="0"/>
                <w:i w:val="0"/>
                <w:sz w:val="18"/>
              </w:rPr>
              <w:t>+0.027</w:t>
            </w:r>
          </w:p>
        </w:tc>
        <w:tc>
          <w:tcPr>
            <w:tcW w:type="dxa" w:w="1872"/>
          </w:tcPr>
          <w:p>
            <w:pPr>
              <w:spacing w:after="0" w:before="0" w:line="240" w:lineRule="auto"/>
              <w:jc w:val="center"/>
            </w:pPr>
            <w:r/>
            <w:r>
              <w:rPr>
                <w:rFonts w:ascii="Times New Roman" w:hAnsi="Times New Roman" w:eastAsia="Times New Roman"/>
                <w:b w:val="0"/>
                <w:i w:val="0"/>
                <w:sz w:val="18"/>
              </w:rPr>
              <w:t>[−0.083, +0.138]</w:t>
            </w:r>
          </w:p>
        </w:tc>
      </w:tr>
      <w:tr>
        <w:tc>
          <w:tcPr>
            <w:tcW w:type="dxa" w:w="1872"/>
          </w:tcPr>
          <w:p>
            <w:pPr>
              <w:spacing w:after="0" w:before="0" w:line="240" w:lineRule="auto"/>
              <w:jc w:val="left"/>
            </w:pPr>
            <w:r/>
            <w:r>
              <w:rPr>
                <w:rFonts w:ascii="Times New Roman" w:hAnsi="Times New Roman" w:eastAsia="Times New Roman"/>
                <w:b w:val="0"/>
                <w:i w:val="0"/>
                <w:sz w:val="18"/>
              </w:rPr>
              <w:t>Gemma-3 27B</w:t>
            </w:r>
          </w:p>
        </w:tc>
        <w:tc>
          <w:tcPr>
            <w:tcW w:type="dxa" w:w="1872"/>
          </w:tcPr>
          <w:p>
            <w:pPr>
              <w:spacing w:after="0" w:before="0" w:line="240" w:lineRule="auto"/>
              <w:jc w:val="center"/>
            </w:pPr>
            <w:r/>
            <w:r>
              <w:rPr>
                <w:rFonts w:ascii="Times New Roman" w:hAnsi="Times New Roman" w:eastAsia="Times New Roman"/>
                <w:b w:val="0"/>
                <w:i w:val="0"/>
                <w:sz w:val="18"/>
              </w:rPr>
              <w:t>0.322 ± 0.020</w:t>
            </w:r>
          </w:p>
        </w:tc>
        <w:tc>
          <w:tcPr>
            <w:tcW w:type="dxa" w:w="1872"/>
          </w:tcPr>
          <w:p>
            <w:pPr>
              <w:spacing w:after="0" w:before="0" w:line="240" w:lineRule="auto"/>
              <w:jc w:val="center"/>
            </w:pPr>
            <w:r/>
            <w:r>
              <w:rPr>
                <w:rFonts w:ascii="Times New Roman" w:hAnsi="Times New Roman" w:eastAsia="Times New Roman"/>
                <w:b w:val="0"/>
                <w:i w:val="0"/>
                <w:sz w:val="18"/>
              </w:rPr>
              <w:t>0.496 ± 0.051</w:t>
            </w:r>
          </w:p>
        </w:tc>
        <w:tc>
          <w:tcPr>
            <w:tcW w:type="dxa" w:w="1872"/>
          </w:tcPr>
          <w:p>
            <w:pPr>
              <w:spacing w:after="0" w:before="0" w:line="240" w:lineRule="auto"/>
              <w:jc w:val="center"/>
            </w:pPr>
            <w:r/>
            <w:r>
              <w:rPr>
                <w:rFonts w:ascii="Times New Roman" w:hAnsi="Times New Roman" w:eastAsia="Times New Roman"/>
                <w:b w:val="0"/>
                <w:i w:val="0"/>
                <w:sz w:val="18"/>
              </w:rPr>
              <w:t>+0.174</w:t>
            </w:r>
          </w:p>
        </w:tc>
        <w:tc>
          <w:tcPr>
            <w:tcW w:type="dxa" w:w="1872"/>
          </w:tcPr>
          <w:p>
            <w:pPr>
              <w:spacing w:after="0" w:before="0" w:line="240" w:lineRule="auto"/>
              <w:jc w:val="center"/>
            </w:pPr>
            <w:r/>
            <w:r>
              <w:rPr>
                <w:rFonts w:ascii="Times New Roman" w:hAnsi="Times New Roman" w:eastAsia="Times New Roman"/>
                <w:b w:val="0"/>
                <w:i w:val="0"/>
                <w:sz w:val="18"/>
              </w:rPr>
              <w:t>[+0.065, +0.284]</w:t>
            </w:r>
          </w:p>
        </w:tc>
      </w:tr>
      <w:tr>
        <w:tc>
          <w:tcPr>
            <w:tcW w:type="dxa" w:w="1872"/>
          </w:tcPr>
          <w:p>
            <w:pPr>
              <w:spacing w:after="0" w:before="0" w:line="240" w:lineRule="auto"/>
              <w:jc w:val="left"/>
            </w:pPr>
            <w:r/>
            <w:r>
              <w:rPr>
                <w:rFonts w:ascii="Times New Roman" w:hAnsi="Times New Roman" w:eastAsia="Times New Roman"/>
                <w:b w:val="0"/>
                <w:i w:val="0"/>
                <w:sz w:val="18"/>
              </w:rPr>
              <w:t>Ministral 3B</w:t>
            </w:r>
          </w:p>
        </w:tc>
        <w:tc>
          <w:tcPr>
            <w:tcW w:type="dxa" w:w="1872"/>
          </w:tcPr>
          <w:p>
            <w:pPr>
              <w:spacing w:after="0" w:before="0" w:line="240" w:lineRule="auto"/>
              <w:jc w:val="center"/>
            </w:pPr>
            <w:r/>
            <w:r>
              <w:rPr>
                <w:rFonts w:ascii="Times New Roman" w:hAnsi="Times New Roman" w:eastAsia="Times New Roman"/>
                <w:b w:val="0"/>
                <w:i w:val="0"/>
                <w:sz w:val="18"/>
              </w:rPr>
              <w:t>0.373 ± 0.061</w:t>
            </w:r>
          </w:p>
        </w:tc>
        <w:tc>
          <w:tcPr>
            <w:tcW w:type="dxa" w:w="1872"/>
          </w:tcPr>
          <w:p>
            <w:pPr>
              <w:spacing w:after="0" w:before="0" w:line="240" w:lineRule="auto"/>
              <w:jc w:val="center"/>
            </w:pPr>
            <w:r/>
            <w:r>
              <w:rPr>
                <w:rFonts w:ascii="Times New Roman" w:hAnsi="Times New Roman" w:eastAsia="Times New Roman"/>
                <w:b w:val="0"/>
                <w:i w:val="0"/>
                <w:sz w:val="18"/>
              </w:rPr>
              <w:t>0.571 ± 0.047</w:t>
            </w:r>
          </w:p>
        </w:tc>
        <w:tc>
          <w:tcPr>
            <w:tcW w:type="dxa" w:w="1872"/>
          </w:tcPr>
          <w:p>
            <w:pPr>
              <w:spacing w:after="0" w:before="0" w:line="240" w:lineRule="auto"/>
              <w:jc w:val="center"/>
            </w:pPr>
            <w:r/>
            <w:r>
              <w:rPr>
                <w:rFonts w:ascii="Times New Roman" w:hAnsi="Times New Roman" w:eastAsia="Times New Roman"/>
                <w:b w:val="0"/>
                <w:i w:val="0"/>
                <w:sz w:val="18"/>
              </w:rPr>
              <w:t>+0.198</w:t>
            </w:r>
          </w:p>
        </w:tc>
        <w:tc>
          <w:tcPr>
            <w:tcW w:type="dxa" w:w="1872"/>
          </w:tcPr>
          <w:p>
            <w:pPr>
              <w:spacing w:after="0" w:before="0" w:line="240" w:lineRule="auto"/>
              <w:jc w:val="center"/>
            </w:pPr>
            <w:r/>
            <w:r>
              <w:rPr>
                <w:rFonts w:ascii="Times New Roman" w:hAnsi="Times New Roman" w:eastAsia="Times New Roman"/>
                <w:b w:val="0"/>
                <w:i w:val="0"/>
                <w:sz w:val="18"/>
              </w:rPr>
              <w:t>[+0.072, +0.325]</w:t>
            </w:r>
          </w:p>
        </w:tc>
      </w:tr>
      <w:tr>
        <w:tc>
          <w:tcPr>
            <w:tcW w:type="dxa" w:w="1872"/>
          </w:tcPr>
          <w:p>
            <w:pPr>
              <w:spacing w:after="0" w:before="0" w:line="240" w:lineRule="auto"/>
              <w:jc w:val="left"/>
            </w:pPr>
            <w:r/>
            <w:r>
              <w:rPr>
                <w:rFonts w:ascii="Times New Roman" w:hAnsi="Times New Roman" w:eastAsia="Times New Roman"/>
                <w:b w:val="0"/>
                <w:i w:val="0"/>
                <w:sz w:val="18"/>
              </w:rPr>
              <w:t>Ministral 8B</w:t>
            </w:r>
          </w:p>
        </w:tc>
        <w:tc>
          <w:tcPr>
            <w:tcW w:type="dxa" w:w="1872"/>
          </w:tcPr>
          <w:p>
            <w:pPr>
              <w:spacing w:after="0" w:before="0" w:line="240" w:lineRule="auto"/>
              <w:jc w:val="center"/>
            </w:pPr>
            <w:r/>
            <w:r>
              <w:rPr>
                <w:rFonts w:ascii="Times New Roman" w:hAnsi="Times New Roman" w:eastAsia="Times New Roman"/>
                <w:b w:val="0"/>
                <w:i w:val="0"/>
                <w:sz w:val="18"/>
              </w:rPr>
              <w:t>0.555 ± 0.009</w:t>
            </w:r>
          </w:p>
        </w:tc>
        <w:tc>
          <w:tcPr>
            <w:tcW w:type="dxa" w:w="1872"/>
          </w:tcPr>
          <w:p>
            <w:pPr>
              <w:spacing w:after="0" w:before="0" w:line="240" w:lineRule="auto"/>
              <w:jc w:val="center"/>
            </w:pPr>
            <w:r/>
            <w:r>
              <w:rPr>
                <w:rFonts w:ascii="Times New Roman" w:hAnsi="Times New Roman" w:eastAsia="Times New Roman"/>
                <w:b w:val="0"/>
                <w:i w:val="0"/>
                <w:sz w:val="18"/>
              </w:rPr>
              <w:t>0.531 ± 0.028</w:t>
            </w:r>
          </w:p>
        </w:tc>
        <w:tc>
          <w:tcPr>
            <w:tcW w:type="dxa" w:w="1872"/>
          </w:tcPr>
          <w:p>
            <w:pPr>
              <w:spacing w:after="0" w:before="0" w:line="240" w:lineRule="auto"/>
              <w:jc w:val="center"/>
            </w:pPr>
            <w:r/>
            <w:r>
              <w:rPr>
                <w:rFonts w:ascii="Times New Roman" w:hAnsi="Times New Roman" w:eastAsia="Times New Roman"/>
                <w:b w:val="0"/>
                <w:i w:val="0"/>
                <w:sz w:val="18"/>
              </w:rPr>
              <w:t>−0.024</w:t>
            </w:r>
          </w:p>
        </w:tc>
        <w:tc>
          <w:tcPr>
            <w:tcW w:type="dxa" w:w="1872"/>
          </w:tcPr>
          <w:p>
            <w:pPr>
              <w:spacing w:after="0" w:before="0" w:line="240" w:lineRule="auto"/>
              <w:jc w:val="center"/>
            </w:pPr>
            <w:r/>
            <w:r>
              <w:rPr>
                <w:rFonts w:ascii="Times New Roman" w:hAnsi="Times New Roman" w:eastAsia="Times New Roman"/>
                <w:b w:val="0"/>
                <w:i w:val="0"/>
                <w:sz w:val="18"/>
              </w:rPr>
              <w:t>[−0.085, +0.038]</w:t>
            </w:r>
          </w:p>
        </w:tc>
      </w:tr>
      <w:tr>
        <w:tc>
          <w:tcPr>
            <w:tcW w:type="dxa" w:w="1872"/>
          </w:tcPr>
          <w:p>
            <w:pPr>
              <w:spacing w:after="0" w:before="0" w:line="240" w:lineRule="auto"/>
              <w:jc w:val="left"/>
            </w:pPr>
            <w:r/>
            <w:r>
              <w:rPr>
                <w:rFonts w:ascii="Times New Roman" w:hAnsi="Times New Roman" w:eastAsia="Times New Roman"/>
                <w:b w:val="0"/>
                <w:i w:val="0"/>
                <w:sz w:val="18"/>
              </w:rPr>
              <w:t>Ministral 14B</w:t>
            </w:r>
          </w:p>
        </w:tc>
        <w:tc>
          <w:tcPr>
            <w:tcW w:type="dxa" w:w="1872"/>
          </w:tcPr>
          <w:p>
            <w:pPr>
              <w:spacing w:after="0" w:before="0" w:line="240" w:lineRule="auto"/>
              <w:jc w:val="center"/>
            </w:pPr>
            <w:r/>
            <w:r>
              <w:rPr>
                <w:rFonts w:ascii="Times New Roman" w:hAnsi="Times New Roman" w:eastAsia="Times New Roman"/>
                <w:b w:val="0"/>
                <w:i w:val="0"/>
                <w:sz w:val="18"/>
              </w:rPr>
              <w:t>0.572 ± 0.018</w:t>
            </w:r>
          </w:p>
        </w:tc>
        <w:tc>
          <w:tcPr>
            <w:tcW w:type="dxa" w:w="1872"/>
          </w:tcPr>
          <w:p>
            <w:pPr>
              <w:spacing w:after="0" w:before="0" w:line="240" w:lineRule="auto"/>
              <w:jc w:val="center"/>
            </w:pPr>
            <w:r/>
            <w:r>
              <w:rPr>
                <w:rFonts w:ascii="Times New Roman" w:hAnsi="Times New Roman" w:eastAsia="Times New Roman"/>
                <w:b w:val="0"/>
                <w:i w:val="0"/>
                <w:sz w:val="18"/>
              </w:rPr>
              <w:t>0.605 ± 0.011</w:t>
            </w:r>
          </w:p>
        </w:tc>
        <w:tc>
          <w:tcPr>
            <w:tcW w:type="dxa" w:w="1872"/>
          </w:tcPr>
          <w:p>
            <w:pPr>
              <w:spacing w:after="0" w:before="0" w:line="240" w:lineRule="auto"/>
              <w:jc w:val="center"/>
            </w:pPr>
            <w:r/>
            <w:r>
              <w:rPr>
                <w:rFonts w:ascii="Times New Roman" w:hAnsi="Times New Roman" w:eastAsia="Times New Roman"/>
                <w:b w:val="0"/>
                <w:i w:val="0"/>
                <w:sz w:val="18"/>
              </w:rPr>
              <w:t>+0.034</w:t>
            </w:r>
          </w:p>
        </w:tc>
        <w:tc>
          <w:tcPr>
            <w:tcW w:type="dxa" w:w="1872"/>
          </w:tcPr>
          <w:p>
            <w:pPr>
              <w:spacing w:after="0" w:before="0" w:line="240" w:lineRule="auto"/>
              <w:jc w:val="center"/>
            </w:pPr>
            <w:r/>
            <w:r>
              <w:rPr>
                <w:rFonts w:ascii="Times New Roman" w:hAnsi="Times New Roman" w:eastAsia="Times New Roman"/>
                <w:b w:val="0"/>
                <w:i w:val="0"/>
                <w:sz w:val="18"/>
              </w:rPr>
              <w:t>[−0.002, +0.069]</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Strategy diversity = normalized Shannon entropy H/log₂(k), where k is the number of available actions (0 = monoculture; 1 = uniform distribution). Delta = governed minus ungoverned; mean ± s.d. over 3 runs. 95% CIs from Welch t-distribution. Post-relocation agent-years excluded. Full IBR decomposition in Supplementary Table 1.</w:t>
      </w:r>
    </w:p>
    <w:p>
      <w:pPr>
        <w:spacing w:after="0" w:before="0" w:line="480" w:lineRule="auto"/>
        <w:ind w:firstLine="432"/>
        <w:jc w:val="both"/>
      </w:pPr>
      <w:r>
        <w:rPr>
          <w:rFonts w:ascii="Times New Roman" w:hAnsi="Times New Roman" w:eastAsia="Times New Roman"/>
          <w:b w:val="0"/>
          <w:i w:val="0"/>
          <w:sz w:val="22"/>
        </w:rPr>
        <w:t>The consistency across two water domains — with positive effects in five of six models, three statistically significant, and near-complete elimination of irrational behaviour — provides converging evidence that institutional governance enables adaptive strategy diversity. Because both domains use the same governance architecture with domain-specific rule configurations rather than redesigned decision logic, the framework addresses a longstanding limitation of agent-based water models: the need to rebuild decision modules for each application domain.</w:t>
      </w:r>
    </w:p>
    <w:p>
      <w:pPr>
        <w:spacing w:after="80" w:before="240" w:line="480" w:lineRule="auto"/>
        <w:jc w:val="center"/>
      </w:pPr>
      <w:r>
        <w:drawing>
          <wp:inline xmlns:a="http://schemas.openxmlformats.org/drawingml/2006/main" xmlns:pic="http://schemas.openxmlformats.org/drawingml/2006/picture">
            <wp:extent cx="5486400" cy="4293920"/>
            <wp:docPr id="1" name="Picture 1"/>
            <wp:cNvGraphicFramePr>
              <a:graphicFrameLocks noChangeAspect="1"/>
            </wp:cNvGraphicFramePr>
            <a:graphic>
              <a:graphicData uri="http://schemas.openxmlformats.org/drawingml/2006/picture">
                <pic:pic>
                  <pic:nvPicPr>
                    <pic:cNvPr id="0" name="Fig2_irrigation.png"/>
                    <pic:cNvPicPr/>
                  </pic:nvPicPr>
                  <pic:blipFill>
                    <a:blip r:embed="rId9"/>
                    <a:stretch>
                      <a:fillRect/>
                    </a:stretch>
                  </pic:blipFill>
                  <pic:spPr>
                    <a:xfrm>
                      <a:off x="0" y="0"/>
                      <a:ext cx="5486400" cy="4293920"/>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1. Adaptive exploitation under institutional governance</w:t>
      </w:r>
      <w:r>
        <w:rPr>
          <w:rFonts w:ascii="Times New Roman" w:hAnsi="Times New Roman" w:eastAsia="Times New Roman"/>
          <w:b w:val="0"/>
          <w:i w:val="0"/>
          <w:sz w:val="18"/>
        </w:rPr>
        <w:t xml:space="preserve"> (irrigation domain, 78 agents × 42 years, 3 seeds). (a) Lake Mead elevation time series with shortage-tier thresholds. (b) Basin demand ratio (total request / total water right); governed agents (blue) track drought, ungoverned (vermillion) monotonically increase, FQL (grey) extracts similar volume but with no drought coupling. (c) Action distribution showing ungoverned collapse into demand increases and FQL dominance of validator-blocked maintain. (d) Strategy diversity versus demand–Mead coupling (Pearson r): governed agents occupy the adaptive-diversity quadrant (high diversity, strong coupling); A1 (green) shows arbitrary diversity (high diversity, weak coupling). Shaded bands show ± 1 s.d. across 3 seeds.</w:t>
      </w:r>
    </w:p>
    <w:p>
      <w:pPr>
        <w:spacing w:after="80" w:before="240" w:line="480" w:lineRule="auto"/>
        <w:jc w:val="center"/>
      </w:pPr>
      <w:r>
        <w:drawing>
          <wp:inline xmlns:a="http://schemas.openxmlformats.org/drawingml/2006/main" xmlns:pic="http://schemas.openxmlformats.org/drawingml/2006/picture">
            <wp:extent cx="5486400" cy="2498526"/>
            <wp:docPr id="2" name="Picture 2"/>
            <wp:cNvGraphicFramePr>
              <a:graphicFrameLocks noChangeAspect="1"/>
            </wp:cNvGraphicFramePr>
            <a:graphic>
              <a:graphicData uri="http://schemas.openxmlformats.org/drawingml/2006/picture">
                <pic:pic>
                  <pic:nvPicPr>
                    <pic:cNvPr id="0" name="Fig3_cumulative_adaptation.png"/>
                    <pic:cNvPicPr/>
                  </pic:nvPicPr>
                  <pic:blipFill>
                    <a:blip r:embed="rId10"/>
                    <a:stretch>
                      <a:fillRect/>
                    </a:stretch>
                  </pic:blipFill>
                  <pic:spPr>
                    <a:xfrm>
                      <a:off x="0" y="0"/>
                      <a:ext cx="5486400" cy="2498526"/>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2. Flood-adaptation trajectories across agent types</w:t>
      </w:r>
      <w:r>
        <w:rPr>
          <w:rFonts w:ascii="Times New Roman" w:hAnsi="Times New Roman" w:eastAsia="Times New Roman"/>
          <w:b w:val="0"/>
          <w:i w:val="0"/>
          <w:sz w:val="18"/>
        </w:rPr>
        <w:t xml:space="preserve"> (100 agents × 10 years). Bars show 3-seed means. (a) Rule-based PMT agents converge rapidly to elevation-dominated protection. (b) Ungoverned language agents stagnate in unprotected states. (c) Governed language agents develop a diverse mix of protection strategies including relocation, which neither rule-based nor ungoverned agents achieve. Insurance requires annual renewal; elevation is permanent.</w:t>
      </w:r>
    </w:p>
    <w:p>
      <w:pPr>
        <w:spacing w:after="120" w:before="360" w:line="480" w:lineRule="auto"/>
        <w:jc w:val="left"/>
      </w:pPr>
      <w:r>
        <w:rPr>
          <w:rFonts w:ascii="Times New Roman" w:hAnsi="Times New Roman" w:eastAsia="Times New Roman"/>
          <w:b/>
          <w:i w:val="0"/>
          <w:sz w:val="24"/>
        </w:rPr>
        <w:t>Discussion</w:t>
      </w:r>
    </w:p>
    <w:p>
      <w:pPr>
        <w:spacing w:after="0" w:before="0" w:line="480" w:lineRule="auto"/>
        <w:ind w:firstLine="432"/>
        <w:jc w:val="both"/>
      </w:pPr>
      <w:r>
        <w:rPr>
          <w:rFonts w:ascii="Times New Roman" w:hAnsi="Times New Roman" w:eastAsia="Times New Roman"/>
          <w:b w:val="0"/>
          <w:i w:val="0"/>
          <w:sz w:val="22"/>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spacing w:after="0" w:before="0" w:line="480" w:lineRule="auto"/>
        <w:ind w:firstLine="432"/>
        <w:jc w:val="both"/>
      </w:pPr>
      <w:r>
        <w:rPr>
          <w:rFonts w:ascii="Times New Roman" w:hAnsi="Times New Roman" w:eastAsia="Times New Roman"/>
          <w:b w:val="0"/>
          <w:i w:val="0"/>
          <w:sz w:val="22"/>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spacing w:after="0" w:before="0" w:line="480" w:lineRule="auto"/>
        <w:ind w:firstLine="432"/>
        <w:jc w:val="both"/>
      </w:pPr>
      <w:r>
        <w:rPr>
          <w:rFonts w:ascii="Times New Roman" w:hAnsi="Times New Roman" w:eastAsia="Times New Roman"/>
          <w:b w:val="0"/>
          <w:i w:val="0"/>
          <w:sz w:val="22"/>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Note 11).</w:t>
      </w:r>
    </w:p>
    <w:p>
      <w:pPr>
        <w:spacing w:after="0" w:before="0" w:line="480" w:lineRule="auto"/>
        <w:ind w:firstLine="432"/>
        <w:jc w:val="both"/>
      </w:pPr>
      <w:r>
        <w:rPr>
          <w:rFonts w:ascii="Times New Roman" w:hAnsi="Times New Roman" w:eastAsia="Times New Roman"/>
          <w:b w:val="0"/>
          <w:i w:val="0"/>
          <w:sz w:val="22"/>
        </w:rPr>
        <w:t>Governance also reveals reasoning patterns that illuminate how agents behave at institutional boundaries. Because the governance pipeline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Note 2 for paired reasoning traces). Across all governed runs, 42% of high-scarcity decisions still attempted demand increases despite drought signals (Table 1, BRI). Governance does not eliminate maladaptive water-use reasoning; it intercepts the proposal before execution and records the reasoning trace that produced it. This diagnostic capacity has no analogue in conventional water-resource agent models, where agents execute programmed allocation rules and cannot generate proposals that violate those rules.</w:t>
      </w:r>
    </w:p>
    <w:p>
      <w:pPr>
        <w:spacing w:after="0" w:before="0" w:line="480" w:lineRule="auto"/>
        <w:ind w:firstLine="432"/>
        <w:jc w:val="both"/>
      </w:pPr>
      <w:r>
        <w:rPr>
          <w:rFonts w:ascii="Times New Roman" w:hAnsi="Times New Roman" w:eastAsia="Times New Roman"/>
          <w:b w:val="0"/>
          <w:i w:val="0"/>
          <w:sz w:val="22"/>
        </w:rPr>
        <w:t>The tendency of governed agents to attempt demand increases during scarcity has empirical precedent in prior-appropriation systems, where irrigators historically increase diversions in anticipation of curtailment. Our governance architecture suppresses these proposals; future designs could distinguish between physically infeasible allocations and institutionally prohibited-but-observed diversion strategies, preserving them as diagnostic windows into water-use reasoning under scarcity. This distinguishes boundary constraints (what agents cannot do) from prescriptive constraints (what agents should do) — the majority of our rules enforce the former, leaving strategy selection to the agent.</w:t>
      </w:r>
    </w:p>
    <w:p>
      <w:pPr>
        <w:spacing w:after="0" w:before="0" w:line="480" w:lineRule="auto"/>
        <w:ind w:firstLine="432"/>
        <w:jc w:val="both"/>
      </w:pPr>
      <w:r>
        <w:rPr>
          <w:rFonts w:ascii="Times New Roman" w:hAnsi="Times New Roman" w:eastAsia="Times New Roman"/>
          <w:b w:val="0"/>
          <w:i w:val="0"/>
          <w:sz w:val="22"/>
        </w:rPr>
        <w:t>Several scope conditions apply. Only one model (Gemma-3 4B) was tested in the irrigation domain; the multi-scale analysis is limited to flood. Both model families are instruction-tuned language models; generalization to reasoning-specialized architectures remains untested. The reservoir model simplifies the full CRSS system to a single reservoir; results should be interpreted as stylized institutional dynamics. Each domain required substantial configuration (personas, validators, action registries); transferability refers to the governance architecture, not the configuration effort. Despite these limitations, the consistency of the governance effect — positive for five of six model scales on diversity, with significant reduction of irrational behaviour for four of six (directionally consistent in all six),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pPr>
        <w:spacing w:after="120" w:before="360" w:line="480" w:lineRule="auto"/>
        <w:jc w:val="left"/>
      </w:pPr>
      <w:r>
        <w:rPr>
          <w:rFonts w:ascii="Times New Roman" w:hAnsi="Times New Roman" w:eastAsia="Times New Roman"/>
          <w:b/>
          <w:i w:val="0"/>
          <w:sz w:val="24"/>
        </w:rPr>
        <w:t>Methods</w:t>
      </w:r>
    </w:p>
    <w:p>
      <w:pPr>
        <w:spacing w:after="80" w:before="240" w:line="480" w:lineRule="auto"/>
        <w:jc w:val="left"/>
      </w:pPr>
      <w:r>
        <w:rPr>
          <w:rFonts w:ascii="Times New Roman" w:hAnsi="Times New Roman" w:eastAsia="Times New Roman"/>
          <w:b/>
          <w:i/>
          <w:sz w:val="22"/>
        </w:rPr>
        <w:t>Broker Architecture and Governance Pipeline</w:t>
      </w:r>
    </w:p>
    <w:p>
      <w:pPr>
        <w:spacing w:after="0" w:before="0" w:line="480" w:lineRule="auto"/>
        <w:ind w:firstLine="432"/>
        <w:jc w:val="both"/>
      </w:pPr>
      <w:r>
        <w:rPr>
          <w:rFonts w:ascii="Times New Roman" w:hAnsi="Times New Roman" w:eastAsia="Times New Roman"/>
          <w:b w:val="0"/>
          <w:i w:val="0"/>
          <w:sz w:val="22"/>
        </w:rPr>
        <w:t>The Water Agent Governance Framework implements a three-layer architecture: an LLM agent layer, a governance pipeline, and a simulation engine. At each decision step, the framework assembles the information available to the agent — personal state variables, social observations from network neighbours, and system-level indicators (drought indices, flood forecasts, institutional announcements) — bounded to what the agent's role and location would permit access to. The agent produces a structured JSON output comprising a proposed action, natural-language reasoning, and psychological construct labels where applicable. The governance pipeline then evaluates this proposal through a six-step validation sequence: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Schema validation</w:t>
      </w:r>
      <w:r>
        <w:rPr>
          <w:rFonts w:ascii="Times New Roman" w:hAnsi="Times New Roman" w:eastAsia="Times New Roman"/>
          <w:b w:val="0"/>
          <w:i w:val="0"/>
          <w:sz w:val="22"/>
        </w:rPr>
        <w:t>: Confirms the output conforms to the required JSON structure.</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Action legality</w:t>
      </w:r>
      <w:r>
        <w:rPr>
          <w:rFonts w:ascii="Times New Roman" w:hAnsi="Times New Roman" w:eastAsia="Times New Roman"/>
          <w:b w:val="0"/>
          <w:i w:val="0"/>
          <w:sz w:val="22"/>
        </w:rPr>
        <w:t>: Verifies the proposed action belongs to the agent's type-specific action registry.</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Checks mass balance, capacity limits, and domain-specific physical constraints.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Institutional compliance</w:t>
      </w:r>
      <w:r>
        <w:rPr>
          <w:rFonts w:ascii="Times New Roman" w:hAnsi="Times New Roman" w:eastAsia="Times New Roman"/>
          <w:b w:val="0"/>
          <w:i w:val="0"/>
          <w:sz w:val="22"/>
        </w:rPr>
        <w:t>: Validates against policy rules (prior-appropriation doctrine, programme eligibility).</w:t>
      </w:r>
    </w:p>
    <w:p>
      <w:pPr>
        <w:spacing w:after="40" w:before="40" w:line="480" w:lineRule="auto"/>
        <w:ind w:left="720"/>
        <w:jc w:val="both"/>
      </w:pPr>
      <w:r>
        <w:rPr>
          <w:rFonts w:ascii="Times New Roman" w:hAnsi="Times New Roman" w:eastAsia="Times New Roman"/>
          <w:b w:val="0"/>
          <w:i w:val="0"/>
          <w:sz w:val="22"/>
        </w:rPr>
        <w:t xml:space="preserve">5. </w:t>
      </w:r>
      <w:r>
        <w:rPr>
          <w:rFonts w:ascii="Times New Roman" w:hAnsi="Times New Roman" w:eastAsia="Times New Roman"/>
          <w:b/>
          <w:i w:val="0"/>
          <w:sz w:val="22"/>
        </w:rPr>
        <w:t>Magnitude plausibility</w:t>
      </w:r>
      <w:r>
        <w:rPr>
          <w:rFonts w:ascii="Times New Roman" w:hAnsi="Times New Roman" w:eastAsia="Times New Roman"/>
          <w:b w:val="0"/>
          <w:i w:val="0"/>
          <w:sz w:val="22"/>
        </w:rPr>
        <w:t>: Assesses whether proposed changes fall within empirically calibrated bounds (e.g., year-over-year demand shifts within +/-15%).</w:t>
      </w:r>
    </w:p>
    <w:p>
      <w:pPr>
        <w:spacing w:after="40" w:before="40" w:line="480" w:lineRule="auto"/>
        <w:ind w:left="720"/>
        <w:jc w:val="both"/>
      </w:pPr>
      <w:r>
        <w:rPr>
          <w:rFonts w:ascii="Times New Roman" w:hAnsi="Times New Roman" w:eastAsia="Times New Roman"/>
          <w:b w:val="0"/>
          <w:i w:val="0"/>
          <w:sz w:val="22"/>
        </w:rPr>
        <w:t xml:space="preserve">6. </w:t>
      </w:r>
      <w:r>
        <w:rPr>
          <w:rFonts w:ascii="Times New Roman" w:hAnsi="Times New Roman" w:eastAsia="Times New Roman"/>
          <w:b/>
          <w:i w:val="0"/>
          <w:sz w:val="22"/>
        </w:rPr>
        <w:t>Theory consistency</w:t>
      </w:r>
      <w:r>
        <w:rPr>
          <w:rFonts w:ascii="Times New Roman" w:hAnsi="Times New Roman" w:eastAsia="Times New Roman"/>
          <w:b w:val="0"/>
          <w:i w:val="0"/>
          <w:sz w:val="22"/>
        </w:rPr>
        <w:t>: For domains with explicit behavioural theory framing (e.g., Protection Motivation Theory), verifies alignment between stated reasoning constructs and the proposed action.</w:t>
      </w:r>
    </w:p>
    <w:p>
      <w:pPr>
        <w:spacing w:after="0" w:before="0" w:line="480" w:lineRule="auto"/>
        <w:ind w:firstLine="432"/>
        <w:jc w:val="both"/>
      </w:pPr>
      <w:r>
        <w:rPr>
          <w:rFonts w:ascii="Times New Roman" w:hAnsi="Times New Roman" w:eastAsia="Times New Roman"/>
          <w:b w:val="0"/>
          <w:i w:val="0"/>
          <w:sz w:val="22"/>
        </w:rPr>
        <w:t>When a proposal fails validation, the governance pipeline returns a structured explanation identifying the violated rule. The agent receives this feedback and may revise its proposal (up to three attempts). If the same rule blocks consecutive attempts, the revision cycle terminates and a domain-appropriate default action (typically "do nothing") executes, ensuring simulation advancement. Failed proposals, revision attempts, and governance explanations are recorded in structured decision logs for post-hoc analysis.</w:t>
      </w:r>
    </w:p>
    <w:p>
      <w:pPr>
        <w:spacing w:after="0" w:before="0" w:line="480" w:lineRule="auto"/>
        <w:ind w:firstLine="432"/>
        <w:jc w:val="both"/>
      </w:pPr>
      <w:r>
        <w:rPr>
          <w:rFonts w:ascii="Times New Roman" w:hAnsi="Times New Roman" w:eastAsia="Times New Roman"/>
          <w:b w:val="0"/>
          <w:i w:val="0"/>
          <w:sz w:val="22"/>
        </w:rPr>
        <w:t>The governance architecture is fixed code requiring no modification across domains. All domain-specific knowledge is expressed through declarative configuration files: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Action registries</w:t>
      </w:r>
      <w:r>
        <w:rPr>
          <w:rFonts w:ascii="Times New Roman" w:hAnsi="Times New Roman" w:eastAsia="Times New Roman"/>
          <w:b w:val="0"/>
          <w:i w:val="0"/>
          <w:sz w:val="22"/>
        </w:rPr>
        <w:t xml:space="preserve"> (YAML): Define the decision vocabulary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Agent-type specifications</w:t>
      </w:r>
      <w:r>
        <w:rPr>
          <w:rFonts w:ascii="Times New Roman" w:hAnsi="Times New Roman" w:eastAsia="Times New Roman"/>
          <w:b w:val="0"/>
          <w:i w:val="0"/>
          <w:sz w:val="22"/>
        </w:rPr>
        <w:t xml:space="preserve"> (YAML): Map state variables, decision attributes, and governance rule bindings.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Persona prompts</w:t>
      </w:r>
      <w:r>
        <w:rPr>
          <w:rFonts w:ascii="Times New Roman" w:hAnsi="Times New Roman" w:eastAsia="Times New Roman"/>
          <w:b w:val="0"/>
          <w:i w:val="0"/>
          <w:sz w:val="22"/>
        </w:rPr>
        <w:t xml:space="preserve"> (natural language): Establish cognitive framing, institutional context, and behavioural theory orientation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rules</w:t>
      </w:r>
      <w:r>
        <w:rPr>
          <w:rFonts w:ascii="Times New Roman" w:hAnsi="Times New Roman" w:eastAsia="Times New Roman"/>
          <w:b w:val="0"/>
          <w:i w:val="0"/>
          <w:sz w:val="22"/>
        </w:rPr>
        <w:t xml:space="preserve"> (YAML): Specify validator stacks, thresholds, and severity levels (WARNING vs. ERROR).</w:t>
      </w:r>
    </w:p>
    <w:p>
      <w:pPr>
        <w:spacing w:after="80" w:before="240" w:line="480" w:lineRule="auto"/>
        <w:jc w:val="left"/>
      </w:pPr>
      <w:r>
        <w:rPr>
          <w:rFonts w:ascii="Times New Roman" w:hAnsi="Times New Roman" w:eastAsia="Times New Roman"/>
          <w:b/>
          <w:i/>
          <w:sz w:val="22"/>
        </w:rPr>
        <w:t>LLM Configuration and Inference</w:t>
      </w:r>
    </w:p>
    <w:p>
      <w:pPr>
        <w:spacing w:after="0" w:before="0" w:line="480" w:lineRule="auto"/>
        <w:ind w:firstLine="432"/>
        <w:jc w:val="both"/>
      </w:pPr>
      <w:r>
        <w:rPr>
          <w:rFonts w:ascii="Times New Roman" w:hAnsi="Times New Roman" w:eastAsia="Times New Roman"/>
          <w:b w:val="0"/>
          <w:i w:val="0"/>
          <w:sz w:val="22"/>
        </w:rPr>
        <w:t>All experiments used locally hosted open-weight models via Ollama, a local inference platform for open-weight language models. The primary model was Gemma-3 4B (Gemma Team,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rule-based preprocessing that corrects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spacing w:after="80" w:before="240" w:line="480" w:lineRule="auto"/>
        <w:jc w:val="left"/>
      </w:pPr>
      <w:r>
        <w:rPr>
          <w:rFonts w:ascii="Times New Roman" w:hAnsi="Times New Roman" w:eastAsia="Times New Roman"/>
          <w:b/>
          <w:i/>
          <w:sz w:val="22"/>
        </w:rPr>
        <w:t>Irrigation Domain Setup</w:t>
      </w:r>
    </w:p>
    <w:p>
      <w:pPr>
        <w:spacing w:after="0" w:before="0" w:line="480" w:lineRule="auto"/>
        <w:ind w:firstLine="432"/>
        <w:jc w:val="both"/>
      </w:pPr>
      <w:r>
        <w:rPr>
          <w:rFonts w:ascii="Times New Roman" w:hAnsi="Times New Roman" w:eastAsia="Times New Roman"/>
          <w:b w:val="0"/>
          <w:i w:val="0"/>
          <w:sz w:val="22"/>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actions define the decision vocabulary: increase demand (large or small), decrease demand (large or small), and maintain demand. Each action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spacing w:after="0" w:before="0" w:line="480" w:lineRule="auto"/>
        <w:ind w:firstLine="432"/>
        <w:jc w:val="both"/>
      </w:pPr>
      <w:r>
        <w:rPr>
          <w:rFonts w:ascii="Times New Roman" w:hAnsi="Times New Roman" w:eastAsia="Times New Roman"/>
          <w:b w:val="0"/>
          <w:i w:val="0"/>
          <w:sz w:val="22"/>
        </w:rPr>
        <w:t>To isolate the governance contribution, we conducted a two-condition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Governed</w:t>
      </w:r>
      <w:r>
        <w:rPr>
          <w:rFonts w:ascii="Times New Roman" w:hAnsi="Times New Roman" w:eastAsia="Times New Roman"/>
          <w:b w:val="0"/>
          <w:i w:val="0"/>
          <w:sz w:val="22"/>
        </w:rPr>
        <w:t>: Full governance pipeline (12 validators, WARNING and ERROR severity levels, retry loop with early exit). WARNING-level violations issue feedback but allow execution; ERROR-level violations block the proposal and trigger retries (max 3).</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Ungoverned</w:t>
      </w:r>
      <w:r>
        <w:rPr>
          <w:rFonts w:ascii="Times New Roman" w:hAnsi="Times New Roman" w:eastAsia="Times New Roman"/>
          <w:b w:val="0"/>
          <w:i w:val="0"/>
          <w:sz w:val="22"/>
        </w:rPr>
        <w:t>: Identical agent personas, environment, and magnitude sampling, but with governance disabled (no validators, no retry loop). The LLM freely selects any action; physical bounds are maintained solely through the code-level clamp in the simulation engine.</w:t>
      </w:r>
    </w:p>
    <w:p>
      <w:pPr>
        <w:spacing w:after="0" w:before="0" w:line="480" w:lineRule="auto"/>
        <w:ind w:firstLine="432"/>
        <w:jc w:val="both"/>
      </w:pPr>
      <w:r>
        <w:rPr>
          <w:rFonts w:ascii="Times New Roman" w:hAnsi="Times New Roman" w:eastAsia="Times New Roman"/>
          <w:b w:val="0"/>
          <w:i w:val="0"/>
          <w:sz w:val="22"/>
        </w:rPr>
        <w:t>A third condition tested targeted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A1 (No demand ceiling)</w:t>
      </w:r>
      <w:r>
        <w:rPr>
          <w:rFonts w:ascii="Times New Roman" w:hAnsi="Times New Roman" w:eastAsia="Times New Roman"/>
          <w:b w:val="0"/>
          <w:i w:val="0"/>
          <w:sz w:val="22"/>
        </w:rPr>
        <w:t>: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spacing w:after="0" w:before="0" w:line="480" w:lineRule="auto"/>
        <w:ind w:firstLine="432"/>
        <w:jc w:val="both"/>
      </w:pPr>
      <w:r>
        <w:rPr>
          <w:rFonts w:ascii="Times New Roman" w:hAnsi="Times New Roman" w:eastAsia="Times New Roman"/>
          <w:b w:val="0"/>
          <w:i w:val="0"/>
          <w:sz w:val="22"/>
        </w:rPr>
        <w:t>Each condition was run with 3 replicate seeds (42, 43, 44) for a total of 9 irrigation runs. Because magnitude is code-generated in all conditions, the ablation cleanly isolates the governance effect on action selection quality.</w:t>
      </w:r>
    </w:p>
    <w:p>
      <w:pPr>
        <w:spacing w:after="80" w:before="240" w:line="480" w:lineRule="auto"/>
        <w:jc w:val="left"/>
      </w:pPr>
      <w:r>
        <w:rPr>
          <w:rFonts w:ascii="Times New Roman" w:hAnsi="Times New Roman" w:eastAsia="Times New Roman"/>
          <w:b/>
          <w:i/>
          <w:sz w:val="22"/>
        </w:rPr>
        <w:t>Reservoir Simulation</w:t>
      </w:r>
    </w:p>
    <w:p>
      <w:pPr>
        <w:spacing w:after="0" w:before="0" w:line="480" w:lineRule="auto"/>
        <w:ind w:firstLine="432"/>
        <w:jc w:val="both"/>
      </w:pPr>
      <w:r>
        <w:rPr>
          <w:rFonts w:ascii="Times New Roman" w:hAnsi="Times New Roman" w:eastAsia="Times New Roman"/>
          <w:b w:val="0"/>
          <w:i w:val="0"/>
          <w:sz w:val="22"/>
        </w:rPr>
        <w:t>Agent decisions drive Lake Mead through an endogenous mass-balance model. At each annual timestep, the simulation computes:</w:t>
      </w:r>
    </w:p>
    <w:p>
      <w:pPr>
        <w:spacing w:after="0" w:before="0" w:line="480" w:lineRule="auto"/>
        <w:ind w:firstLine="432"/>
        <w:jc w:val="both"/>
      </w:pPr>
      <w:r>
        <w:rPr>
          <w:rFonts w:ascii="Times New Roman" w:hAnsi="Times New Roman" w:eastAsia="Times New Roman"/>
          <w:b w:val="0"/>
          <w:i w:val="0"/>
          <w:sz w:val="22"/>
        </w:rPr>
        <w:t>Storage(t+1) = Storage(t) + Inflows(t) − ΣWithdrawals(t) − Evaporation(t) − Downstream(t)</w:t>
      </w:r>
    </w:p>
    <w:p>
      <w:pPr>
        <w:spacing w:after="0" w:before="0" w:line="480" w:lineRule="auto"/>
        <w:ind w:firstLine="432"/>
        <w:jc w:val="both"/>
      </w:pPr>
      <w:r>
        <w:rPr>
          <w:rFonts w:ascii="Times New Roman" w:hAnsi="Times New Roman" w:eastAsia="Times New Roman"/>
          <w:b w:val="0"/>
          <w:i w:val="0"/>
          <w:sz w:val="22"/>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The simulation clamps storage changes to ±3.5 MAF/yr to prevent numerical instabilities.</w:t>
      </w:r>
    </w:p>
    <w:p>
      <w:pPr>
        <w:spacing w:after="0" w:before="0" w:line="480" w:lineRule="auto"/>
        <w:ind w:firstLine="432"/>
        <w:jc w:val="both"/>
      </w:pPr>
      <w:r>
        <w:rPr>
          <w:rFonts w:ascii="Times New Roman" w:hAnsi="Times New Roman" w:eastAsia="Times New Roman"/>
          <w:b w:val="0"/>
          <w:i w:val="0"/>
          <w:sz w:val="22"/>
        </w:rPr>
        <w:t>Shortage tiers activate at elevation thresholds following the 2007 Interim Guidelines: Tier 1 at 1,075 ft (5% curtailment), Tier 2 at 1,050 ft (10%), Tier 3 at 1,025 ft (20%). Shortage tiers reduce all agents' fulfilled diversions by the tier percentage — a simplification of the seniority-based curtailment sequence used in actual Colorado River operations, where junior rights are curtailed before senior rights. Upper Basin diversions are additionally constrained by a minimum Powell release of 7.0 MAF/yr and infrastructure capacity of 5.0 MAF/yr, with proportional reduction when aggregate Upper Basin demand exceeds the effective cap.</w:t>
      </w:r>
    </w:p>
    <w:p>
      <w:pPr>
        <w:spacing w:after="0" w:before="0" w:line="480" w:lineRule="auto"/>
        <w:ind w:firstLine="432"/>
        <w:jc w:val="both"/>
      </w:pPr>
      <w:r>
        <w:rPr>
          <w:rFonts w:ascii="Times New Roman" w:hAnsi="Times New Roman" w:eastAsia="Times New Roman"/>
          <w:b w:val="0"/>
          <w:i w:val="0"/>
          <w:sz w:val="22"/>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spacing w:after="0" w:before="0" w:line="480" w:lineRule="auto"/>
        <w:ind w:firstLine="432"/>
        <w:jc w:val="both"/>
      </w:pPr>
      <w:r>
        <w:rPr>
          <w:rFonts w:ascii="Times New Roman" w:hAnsi="Times New Roman" w:eastAsia="Times New Roman"/>
          <w:b w:val="0"/>
          <w:i w:val="0"/>
          <w:sz w:val="22"/>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spacing w:after="80" w:before="240" w:line="480" w:lineRule="auto"/>
        <w:jc w:val="left"/>
      </w:pPr>
      <w:r>
        <w:rPr>
          <w:rFonts w:ascii="Times New Roman" w:hAnsi="Times New Roman" w:eastAsia="Times New Roman"/>
          <w:b/>
          <w:i/>
          <w:sz w:val="22"/>
        </w:rPr>
        <w:t>Flood Domain Setup</w:t>
      </w:r>
    </w:p>
    <w:p>
      <w:pPr>
        <w:spacing w:after="0" w:before="0" w:line="480" w:lineRule="auto"/>
        <w:ind w:firstLine="432"/>
        <w:jc w:val="both"/>
      </w:pPr>
      <w:r>
        <w:rPr>
          <w:rFonts w:ascii="Times New Roman" w:hAnsi="Times New Roman" w:eastAsia="Times New Roman"/>
          <w:b w:val="0"/>
          <w:i w:val="0"/>
          <w:sz w:val="22"/>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actions are available: purchase flood insurance, elevate home, relocate, or do nothing. The elevation action is permanently blocked once completed.</w:t>
      </w:r>
    </w:p>
    <w:p>
      <w:pPr>
        <w:spacing w:after="0" w:before="0" w:line="480" w:lineRule="auto"/>
        <w:ind w:firstLine="432"/>
        <w:jc w:val="both"/>
      </w:pPr>
      <w:r>
        <w:rPr>
          <w:rFonts w:ascii="Times New Roman" w:hAnsi="Times New Roman" w:eastAsia="Times New Roman"/>
          <w:b w:val="0"/>
          <w:i w:val="0"/>
          <w:sz w:val="22"/>
        </w:rPr>
        <w:t>The experiment uses a three-group factorial design: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A (Ungoverned)</w:t>
      </w:r>
      <w:r>
        <w:rPr>
          <w:rFonts w:ascii="Times New Roman" w:hAnsi="Times New Roman" w:eastAsia="Times New Roman"/>
          <w:b w:val="0"/>
          <w:i w:val="0"/>
          <w:sz w:val="22"/>
        </w:rPr>
        <w:t>: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B (Governed)</w:t>
      </w:r>
      <w:r>
        <w:rPr>
          <w:rFonts w:ascii="Times New Roman" w:hAnsi="Times New Roman" w:eastAsia="Times New Roman"/>
          <w:b w:val="0"/>
          <w:i w:val="0"/>
          <w:sz w:val="22"/>
        </w:rPr>
        <w:t>: LLM with window memory (5-year window) and full governance validation — isolates the governance effect.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C (Governed + HumanCentric Memory)</w:t>
      </w:r>
      <w:r>
        <w:rPr>
          <w:rFonts w:ascii="Times New Roman" w:hAnsi="Times New Roman" w:eastAsia="Times New Roman"/>
          <w:b w:val="0"/>
          <w:i w:val="0"/>
          <w:sz w:val="22"/>
        </w:rPr>
        <w:t>: LLM with surprise-weighted, arousal-gated memory featuring stochastic consolidation and exponential decay, plus full governance validation — tests whether cognitively inspired memory improves native alignment. For Gemma-3 4B, main-text comparisons use Groups A and B; for the cross-model comparison (six models, Table 3), Groups A and C were run because Group B was conducted only for Gemma-3 4B. Groups B and C share identical governance validators; they differ only in memory subsystem (see Supplementary Table 1 note).</w:t>
      </w:r>
    </w:p>
    <w:p>
      <w:pPr>
        <w:spacing w:after="0" w:before="0" w:line="480" w:lineRule="auto"/>
        <w:ind w:firstLine="432"/>
        <w:jc w:val="both"/>
      </w:pPr>
      <w:r>
        <w:rPr>
          <w:rFonts w:ascii="Times New Roman" w:hAnsi="Times New Roman" w:eastAsia="Times New Roman"/>
          <w:b w:val="0"/>
          <w:i w:val="0"/>
          <w:sz w:val="22"/>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Strategy diversity metric.</w:t>
      </w:r>
      <w:r>
        <w:rPr>
          <w:rFonts w:ascii="Times New Roman" w:hAnsi="Times New Roman" w:eastAsia="Times New Roman"/>
          <w:b w:val="0"/>
          <w:i w:val="0"/>
          <w:sz w:val="22"/>
        </w:rPr>
        <w:t xml:space="preserve"> For both domains, strategy diversity is measured from each agent's annual action selection — the decision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spacing w:after="80" w:before="240" w:line="480" w:lineRule="auto"/>
        <w:jc w:val="left"/>
      </w:pPr>
      <w:r>
        <w:rPr>
          <w:rFonts w:ascii="Times New Roman" w:hAnsi="Times New Roman" w:eastAsia="Times New Roman"/>
          <w:b/>
          <w:i/>
          <w:sz w:val="22"/>
        </w:rPr>
        <w:t>Rule-Based PMT Agent</w:t>
      </w:r>
    </w:p>
    <w:p>
      <w:pPr>
        <w:spacing w:after="0" w:before="0" w:line="480" w:lineRule="auto"/>
        <w:ind w:firstLine="432"/>
        <w:jc w:val="both"/>
      </w:pPr>
      <w:r>
        <w:rPr>
          <w:rFonts w:ascii="Times New Roman" w:hAnsi="Times New Roman" w:eastAsia="Times New Roman"/>
          <w:b w:val="0"/>
          <w:i w:val="0"/>
          <w:sz w:val="22"/>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strategy diversity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spacing w:after="80" w:before="240" w:line="480" w:lineRule="auto"/>
        <w:jc w:val="left"/>
      </w:pPr>
      <w:r>
        <w:rPr>
          <w:rFonts w:ascii="Times New Roman" w:hAnsi="Times New Roman" w:eastAsia="Times New Roman"/>
          <w:b/>
          <w:i/>
          <w:sz w:val="22"/>
        </w:rPr>
        <w:t>Validation Protocol</w:t>
      </w:r>
    </w:p>
    <w:p>
      <w:pPr>
        <w:spacing w:after="0" w:before="0" w:line="480" w:lineRule="auto"/>
        <w:ind w:firstLine="432"/>
        <w:jc w:val="both"/>
      </w:pPr>
      <w:r>
        <w:rPr>
          <w:rFonts w:ascii="Times New Roman" w:hAnsi="Times New Roman" w:eastAsia="Times New Roman"/>
          <w:b w:val="0"/>
          <w:i w:val="0"/>
          <w:sz w:val="22"/>
        </w:rPr>
        <w:t>We adopted a multi-level validation protocol informed by pattern-oriented modelling principles (Grimm et al., 2005).</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1 — Micro-behavioural coherence.</w:t>
      </w:r>
      <w:r>
        <w:rPr>
          <w:rFonts w:ascii="Times New Roman" w:hAnsi="Times New Roman" w:eastAsia="Times New Roman"/>
          <w:b w:val="0"/>
          <w:i w:val="0"/>
          <w:sz w:val="22"/>
        </w:rPr>
        <w:t xml:space="preserv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action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 In the main text, we report IBR (percentage of irrational decisions) for the flood domain and BRI (Behavioural Rationality Index = fraction of rational decisions under high scarcity) for irrigation; BRI approximates 1 − IBR but uses a domain-specific definition where rational behaviour is defined as not increasing demand during high water scarcity (null expectation under uniform random action = 60%).</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2 — Population-level patterns.</w:t>
      </w:r>
      <w:r>
        <w:rPr>
          <w:rFonts w:ascii="Times New Roman" w:hAnsi="Times New Roman" w:eastAsia="Times New Roman"/>
          <w:b w:val="0"/>
          <w:i w:val="0"/>
          <w:sz w:val="22"/>
        </w:rPr>
        <w:t xml:space="preserve"> Strategy diversity measures the evenness of action distributions across agent populations using normalized Shannon entropy: H / log₂(k), where H is the Shannon entropy of the action frequency distribution and k is the number of actions in the agent's designed decision interface (k = 4 for flood, k = 5 for irrigation). A value of 0 indicates behavioural monoculture (all agents choose the same action); a value of 1 indicates a perfectly uniform distribution across all available actions. Cognitive lifespan T_life is defined as the number of simulated years during which strategy diversity exceeds 0.4, capturing when a population collapses into repetitive behaviour. For irrigation, aggregate demand ratio against CRSS baseline serves as the primary population-level calibration target. Demand–Mead coupling is measured as the Pearson correlation (r) between annual Lake Mead elevation and annual mean demand ratio; positive values indicate agents reduce demand during drought.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3 — Cross-scale comparison.</w:t>
      </w:r>
      <w:r>
        <w:rPr>
          <w:rFonts w:ascii="Times New Roman" w:hAnsi="Times New Roman" w:eastAsia="Times New Roman"/>
          <w:b w:val="0"/>
          <w:i w:val="0"/>
          <w:sz w:val="22"/>
        </w:rPr>
        <w:t xml:space="preserve"> To assess whether governance compensates for model scale, we compare governed 4B agents against ungoverned agents at 12B and 27B scales using Mann-Whitney U tests, Cohen's d effect sizes, and bootstrap confidence intervals on strategy diversity differences.</w:t>
      </w:r>
    </w:p>
    <w:p>
      <w:pPr>
        <w:spacing w:after="80" w:before="240" w:line="480" w:lineRule="auto"/>
        <w:jc w:val="left"/>
      </w:pPr>
      <w:r>
        <w:rPr>
          <w:rFonts w:ascii="Times New Roman" w:hAnsi="Times New Roman" w:eastAsia="Times New Roman"/>
          <w:b/>
          <w:i/>
          <w:sz w:val="22"/>
        </w:rPr>
        <w:t>Statistical Analysis</w:t>
      </w:r>
    </w:p>
    <w:p>
      <w:pPr>
        <w:spacing w:after="0" w:before="0" w:line="480" w:lineRule="auto"/>
        <w:ind w:firstLine="432"/>
        <w:jc w:val="both"/>
      </w:pPr>
      <w:r>
        <w:rPr>
          <w:rFonts w:ascii="Times New Roman" w:hAnsi="Times New Roman" w:eastAsia="Times New Roman"/>
          <w:b w:val="0"/>
          <w:i w:val="0"/>
          <w:sz w:val="22"/>
        </w:rPr>
        <w:t>Each experimental condition was replicated with three independent random seeds. This ensemble size is consistent with standard practice in agent-based water-resource modelling, where individual runs aggregate hundreds to thousands of agent decisions and replicate seeds serve as robustness checks on stochastic initialisation rather than formal hypothesis tests (Schlüter et al., 2017). Each seed generates 1,000 agent-year decisions (100 agents × 10 years) for flood and 3,276 (78 agents × 42 years) for irrigation. We report means ± s.d. across seeds and 95% confidence intervals from the paired t-distribution (df = 2); all governance effects on IBR were directionally consistent across every seed for all six models tested. For agent-level analyses, we computed chi-squared tests on aggregate action distributions pooled across seeds, which provide adequate power given the large number of agent-decisions per condition (3,000 for flood, 9,828 for irrigation). To decompose the governance contribution, we computed CACR on proposed actions (pre-validation) and final actions (post-validation), yielding a governance improvement metric. All analyses were conducted in Python 3.11 using NumPy, SciPy, and pandas.</w:t>
      </w:r>
    </w:p>
    <w:p>
      <w:pPr>
        <w:spacing w:after="120" w:before="360" w:line="480" w:lineRule="auto"/>
        <w:jc w:val="left"/>
      </w:pPr>
      <w:r>
        <w:rPr>
          <w:rFonts w:ascii="Times New Roman" w:hAnsi="Times New Roman" w:eastAsia="Times New Roman"/>
          <w:b/>
          <w:i w:val="0"/>
          <w:sz w:val="28"/>
        </w:rPr>
        <w:t>References</w:t>
      </w:r>
    </w:p>
    <w:p>
      <w:pPr>
        <w:spacing w:after="20" w:before="20" w:line="480" w:lineRule="auto"/>
        <w:ind w:left="432" w:hanging="432"/>
        <w:jc w:val="both"/>
      </w:pPr>
      <w:r>
        <w:rPr>
          <w:rFonts w:ascii="Times New Roman" w:hAnsi="Times New Roman" w:eastAsia="Times New Roman"/>
          <w:b w:val="0"/>
          <w:i w:val="0"/>
          <w:sz w:val="20"/>
        </w:rPr>
        <w:t>An, L. Modeling human decisions in coupled human and natural systems: review of agent-based models. Ecol. Model. 229, 25–36 (2012).</w:t>
      </w:r>
    </w:p>
    <w:p>
      <w:pPr>
        <w:spacing w:after="20" w:before="20" w:line="480" w:lineRule="auto"/>
        <w:ind w:left="432" w:hanging="432"/>
        <w:jc w:val="both"/>
      </w:pPr>
      <w:r>
        <w:rPr>
          <w:rFonts w:ascii="Times New Roman" w:hAnsi="Times New Roman" w:eastAsia="Times New Roman"/>
          <w:b w:val="0"/>
          <w:i w:val="0"/>
          <w:sz w:val="20"/>
        </w:rPr>
        <w:t>Bankes, S. Exploratory modeling for policy analysis. Oper. Res. 41, 435–449 (1993).</w:t>
      </w:r>
    </w:p>
    <w:p>
      <w:pPr>
        <w:spacing w:after="20" w:before="20" w:line="480" w:lineRule="auto"/>
        <w:ind w:left="432" w:hanging="432"/>
        <w:jc w:val="both"/>
      </w:pPr>
      <w:r>
        <w:rPr>
          <w:rFonts w:ascii="Times New Roman" w:hAnsi="Times New Roman" w:eastAsia="Times New Roman"/>
          <w:b w:val="0"/>
          <w:i w:val="0"/>
          <w:sz w:val="20"/>
        </w:rPr>
        <w:t>Berglund, E. Z. Using agent-based modeling for water resources planning and management. J. Water Resour. Plan. Manage. 141, 04015025 (2015).</w:t>
      </w:r>
    </w:p>
    <w:p>
      <w:pPr>
        <w:spacing w:after="20" w:before="20" w:line="480" w:lineRule="auto"/>
        <w:ind w:left="432" w:hanging="432"/>
        <w:jc w:val="both"/>
      </w:pPr>
      <w:r>
        <w:rPr>
          <w:rFonts w:ascii="Times New Roman" w:hAnsi="Times New Roman" w:eastAsia="Times New Roman"/>
          <w:b w:val="0"/>
          <w:i w:val="0"/>
          <w:sz w:val="20"/>
        </w:rPr>
        <w:t>Blair, P. &amp; Buytaert, W. Socio-hydrological modelling: a review asking 'why, what and how?'. Hydrol. Earth Syst. Sci. 20, 443–478 (2016).</w:t>
      </w:r>
    </w:p>
    <w:p>
      <w:pPr>
        <w:spacing w:after="20" w:before="20" w:line="480" w:lineRule="auto"/>
        <w:ind w:left="432" w:hanging="432"/>
        <w:jc w:val="both"/>
      </w:pPr>
      <w:r>
        <w:rPr>
          <w:rFonts w:ascii="Times New Roman" w:hAnsi="Times New Roman" w:eastAsia="Times New Roman"/>
          <w:b w:val="0"/>
          <w:i w:val="0"/>
          <w:sz w:val="20"/>
        </w:rPr>
        <w:t>Bonabeau, E. Agent-based modeling: methods and techniques for simulating human systems. Proc. Natl Acad. Sci. USA 99, 7280–7287 (2002).</w:t>
      </w:r>
    </w:p>
    <w:p>
      <w:pPr>
        <w:spacing w:after="20" w:before="20" w:line="480" w:lineRule="auto"/>
        <w:ind w:left="432" w:hanging="432"/>
        <w:jc w:val="both"/>
      </w:pPr>
      <w:r>
        <w:rPr>
          <w:rFonts w:ascii="Times New Roman" w:hAnsi="Times New Roman" w:eastAsia="Times New Roman"/>
          <w:b w:val="0"/>
          <w:i w:val="0"/>
          <w:sz w:val="20"/>
        </w:rPr>
        <w:t>Bubeck, P. et al. A review of risk perceptions and other factors that influence flood mitigation behavior. Risk Anal. 32, 1481–1495 (2012).</w:t>
      </w:r>
    </w:p>
    <w:p>
      <w:pPr>
        <w:spacing w:after="20" w:before="20" w:line="480" w:lineRule="auto"/>
        <w:ind w:left="432" w:hanging="432"/>
        <w:jc w:val="both"/>
      </w:pPr>
      <w:r>
        <w:rPr>
          <w:rFonts w:ascii="Times New Roman" w:hAnsi="Times New Roman" w:eastAsia="Times New Roman"/>
          <w:b w:val="0"/>
          <w:i w:val="0"/>
          <w:sz w:val="20"/>
        </w:rPr>
        <w:t>Castilla-Rho, J. C. et al. An agent-based platform for simulating complex human–aquifer interactions in managed groundwater systems. Environ. Model. Softw. 73, 305–323 (2015).</w:t>
      </w:r>
    </w:p>
    <w:p>
      <w:pPr>
        <w:spacing w:after="20" w:before="20" w:line="480" w:lineRule="auto"/>
        <w:ind w:left="432" w:hanging="432"/>
        <w:jc w:val="both"/>
      </w:pPr>
      <w:r>
        <w:rPr>
          <w:rFonts w:ascii="Times New Roman" w:hAnsi="Times New Roman" w:eastAsia="Times New Roman"/>
          <w:b w:val="0"/>
          <w:i w:val="0"/>
          <w:sz w:val="20"/>
        </w:rPr>
        <w:t>Di Baldassarre, G. et al. Sociohydrology: scientific challenges in addressing the sustainable development goals. Water Resour. Res. 55, 6327–6355 (2019).</w:t>
      </w:r>
    </w:p>
    <w:p>
      <w:pPr>
        <w:spacing w:after="20" w:before="20" w:line="480" w:lineRule="auto"/>
        <w:ind w:left="432" w:hanging="432"/>
        <w:jc w:val="both"/>
      </w:pPr>
      <w:r>
        <w:rPr>
          <w:rFonts w:ascii="Times New Roman" w:hAnsi="Times New Roman" w:eastAsia="Times New Roman"/>
          <w:b w:val="0"/>
          <w:i w:val="0"/>
          <w:sz w:val="20"/>
        </w:rPr>
        <w:t>Epstein, J. M. &amp; Axtell, R. Growing Artificial Societies: Social Science from the Bottom Up (MIT Press, 1996).</w:t>
      </w:r>
    </w:p>
    <w:p>
      <w:pPr>
        <w:spacing w:after="20" w:before="20" w:line="480" w:lineRule="auto"/>
        <w:ind w:left="432" w:hanging="432"/>
        <w:jc w:val="both"/>
      </w:pPr>
      <w:r>
        <w:rPr>
          <w:rFonts w:ascii="Times New Roman" w:hAnsi="Times New Roman" w:eastAsia="Times New Roman"/>
          <w:b w:val="0"/>
          <w:i w:val="0"/>
          <w:sz w:val="20"/>
        </w:rPr>
        <w:t>Guo, T. et al. Large language model based multi-agents: a survey of progress and challenges. Preprint at https://arxiv.org/abs/2402.01680 (2024).</w:t>
      </w:r>
    </w:p>
    <w:p>
      <w:pPr>
        <w:spacing w:after="20" w:before="20" w:line="480" w:lineRule="auto"/>
        <w:ind w:left="432" w:hanging="432"/>
        <w:jc w:val="both"/>
      </w:pPr>
      <w:r>
        <w:rPr>
          <w:rFonts w:ascii="Times New Roman" w:hAnsi="Times New Roman" w:eastAsia="Times New Roman"/>
          <w:b w:val="0"/>
          <w:i w:val="0"/>
          <w:sz w:val="20"/>
        </w:rPr>
        <w:t>Gemma Team. Gemma 3 Technical Report. Preprint at https://arxiv.org/abs/2503.19786 (2025).</w:t>
      </w:r>
    </w:p>
    <w:p>
      <w:pPr>
        <w:spacing w:after="20" w:before="20" w:line="480" w:lineRule="auto"/>
        <w:ind w:left="432" w:hanging="432"/>
        <w:jc w:val="both"/>
      </w:pPr>
      <w:r>
        <w:rPr>
          <w:rFonts w:ascii="Times New Roman" w:hAnsi="Times New Roman" w:eastAsia="Times New Roman"/>
          <w:b w:val="0"/>
          <w:i w:val="0"/>
          <w:sz w:val="20"/>
        </w:rPr>
        <w:t>Grimm, V. et al. Pattern-oriented modeling of agent-based complex systems: lessons from ecology. Science 310, 987–991 (2005).</w:t>
      </w:r>
    </w:p>
    <w:p>
      <w:pPr>
        <w:spacing w:after="20" w:before="20" w:line="480" w:lineRule="auto"/>
        <w:ind w:left="432" w:hanging="432"/>
        <w:jc w:val="both"/>
      </w:pPr>
      <w:r>
        <w:rPr>
          <w:rFonts w:ascii="Times New Roman" w:hAnsi="Times New Roman" w:eastAsia="Times New Roman"/>
          <w:b w:val="0"/>
          <w:i w:val="0"/>
          <w:sz w:val="20"/>
        </w:rPr>
        <w:t>Haer, T., Botzen, W. J. W., de Moel, H. &amp; Aerts, J. C. J. H. Integrating household risk mitigation behavior in flood risk analysis: an agent-based model approach. Risk Anal. 37, 1977–1992 (2017).</w:t>
      </w:r>
    </w:p>
    <w:p>
      <w:pPr>
        <w:spacing w:after="20" w:before="20" w:line="480" w:lineRule="auto"/>
        <w:ind w:left="432" w:hanging="432"/>
        <w:jc w:val="both"/>
      </w:pPr>
      <w:r>
        <w:rPr>
          <w:rFonts w:ascii="Times New Roman" w:hAnsi="Times New Roman" w:eastAsia="Times New Roman"/>
          <w:b w:val="0"/>
          <w:i w:val="0"/>
          <w:sz w:val="20"/>
        </w:rPr>
        <w:t>Huang, L. et al. A survey on hallucination in large language models: principles, taxonomy, challenges, and open questions. ACM Trans. Inf. Syst. 43, 1–55 (2025).</w:t>
      </w:r>
    </w:p>
    <w:p>
      <w:pPr>
        <w:spacing w:after="20" w:before="20" w:line="480" w:lineRule="auto"/>
        <w:ind w:left="432" w:hanging="432"/>
        <w:jc w:val="both"/>
      </w:pPr>
      <w:r>
        <w:rPr>
          <w:rFonts w:ascii="Times New Roman" w:hAnsi="Times New Roman" w:eastAsia="Times New Roman"/>
          <w:b w:val="0"/>
          <w:i w:val="0"/>
          <w:sz w:val="20"/>
        </w:rPr>
        <w:t>Hung, F. &amp; Yang, Y.-C. E. Assessing adaptive irrigation impacts on water scarcity in nonstationary environments — a multi-agent reinforcement learning approach. Water Resour. Res. 57, e2020WR029262 (2021).</w:t>
      </w:r>
    </w:p>
    <w:p>
      <w:pPr>
        <w:spacing w:after="20" w:before="20" w:line="480" w:lineRule="auto"/>
        <w:ind w:left="432" w:hanging="432"/>
        <w:jc w:val="both"/>
      </w:pPr>
      <w:r>
        <w:rPr>
          <w:rFonts w:ascii="Times New Roman" w:hAnsi="Times New Roman" w:eastAsia="Times New Roman"/>
          <w:b w:val="0"/>
          <w:i w:val="0"/>
          <w:sz w:val="20"/>
        </w:rPr>
        <w:t>Liu, J. et al. Complexity of coupled human and natural systems. Science 317, 1513–1516 (2007).</w:t>
      </w:r>
    </w:p>
    <w:p>
      <w:pPr>
        <w:spacing w:after="20" w:before="20" w:line="480" w:lineRule="auto"/>
        <w:ind w:left="432" w:hanging="432"/>
        <w:jc w:val="both"/>
      </w:pPr>
      <w:r>
        <w:rPr>
          <w:rFonts w:ascii="Times New Roman" w:hAnsi="Times New Roman" w:eastAsia="Times New Roman"/>
          <w:b w:val="0"/>
          <w:i w:val="0"/>
          <w:sz w:val="20"/>
        </w:rPr>
        <w:t>Maass, A. et al. Design of Water-Resource Systems: New Techniques for Relating Economic Objectives, Engineering Analysis, and Governmental Planning (Harvard Univ. Press, 1962).</w:t>
      </w:r>
    </w:p>
    <w:p>
      <w:pPr>
        <w:spacing w:after="20" w:before="20" w:line="480" w:lineRule="auto"/>
        <w:ind w:left="432" w:hanging="432"/>
        <w:jc w:val="both"/>
      </w:pPr>
      <w:r>
        <w:rPr>
          <w:rFonts w:ascii="Times New Roman" w:hAnsi="Times New Roman" w:eastAsia="Times New Roman"/>
          <w:b w:val="0"/>
          <w:i w:val="0"/>
          <w:sz w:val="20"/>
        </w:rPr>
        <w:t>Müller, B. et al. Describing human decisions in agent-based models — ODD+D, an extension of the ODD protocol. Environ. Model. Softw. 48, 37–48 (2013).</w:t>
      </w:r>
    </w:p>
    <w:p>
      <w:pPr>
        <w:spacing w:after="20" w:before="20" w:line="480" w:lineRule="auto"/>
        <w:ind w:left="432" w:hanging="432"/>
        <w:jc w:val="both"/>
      </w:pPr>
      <w:r>
        <w:rPr>
          <w:rFonts w:ascii="Times New Roman" w:hAnsi="Times New Roman" w:eastAsia="Times New Roman"/>
          <w:b w:val="0"/>
          <w:i w:val="0"/>
          <w:sz w:val="20"/>
        </w:rPr>
        <w:t>Ostrom, E. Governing the Commons: The Evolution of Institutions for Collective Action (Cambridge Univ. Press, 1990).</w:t>
      </w:r>
    </w:p>
    <w:p>
      <w:pPr>
        <w:spacing w:after="20" w:before="20" w:line="480" w:lineRule="auto"/>
        <w:ind w:left="432" w:hanging="432"/>
        <w:jc w:val="both"/>
      </w:pPr>
      <w:r>
        <w:rPr>
          <w:rFonts w:ascii="Times New Roman" w:hAnsi="Times New Roman" w:eastAsia="Times New Roman"/>
          <w:b w:val="0"/>
          <w:i w:val="0"/>
          <w:sz w:val="20"/>
        </w:rPr>
        <w:t>Park, J. S. et al. Generative agents: interactive simulacra of human behavior. In Proc. 36th ACM Symp. on User Interface Software and Technology 1–22 (2023).</w:t>
      </w:r>
    </w:p>
    <w:p>
      <w:pPr>
        <w:spacing w:after="20" w:before="20" w:line="480" w:lineRule="auto"/>
        <w:ind w:left="432" w:hanging="432"/>
        <w:jc w:val="both"/>
      </w:pPr>
      <w:r>
        <w:rPr>
          <w:rFonts w:ascii="Times New Roman" w:hAnsi="Times New Roman" w:eastAsia="Times New Roman"/>
          <w:b w:val="0"/>
          <w:i w:val="0"/>
          <w:sz w:val="20"/>
        </w:rPr>
        <w:t>Rogers, R. W. Cognitive and physiological processes in fear appeals and attitude change: a revised theory of protection motivation. In Social Psychophysiology: A Sourcebook (eds Cacioppo, J. T. &amp; Petty, R. E.) 153–176 (Guilford, 1983).</w:t>
      </w:r>
    </w:p>
    <w:p>
      <w:pPr>
        <w:spacing w:after="20" w:before="20" w:line="480" w:lineRule="auto"/>
        <w:ind w:left="432" w:hanging="432"/>
        <w:jc w:val="both"/>
      </w:pPr>
      <w:r>
        <w:rPr>
          <w:rFonts w:ascii="Times New Roman" w:hAnsi="Times New Roman" w:eastAsia="Times New Roman"/>
          <w:b w:val="0"/>
          <w:i w:val="0"/>
          <w:sz w:val="20"/>
        </w:rPr>
        <w:t>Schlüter, M. et al. A framework for mapping and comparing behavioural theories in models of social-ecological systems. Ecol. Econ. 131, 21–35 (2017).</w:t>
      </w:r>
    </w:p>
    <w:p>
      <w:pPr>
        <w:spacing w:after="20" w:before="20" w:line="480" w:lineRule="auto"/>
        <w:ind w:left="432" w:hanging="432"/>
        <w:jc w:val="both"/>
      </w:pPr>
      <w:r>
        <w:rPr>
          <w:rFonts w:ascii="Times New Roman" w:hAnsi="Times New Roman" w:eastAsia="Times New Roman"/>
          <w:b w:val="0"/>
          <w:i w:val="0"/>
          <w:sz w:val="20"/>
        </w:rPr>
        <w:t>Sivapalan, M. et al. Socio-hydrology: a new science of people and water. Hydrol. Process. 26, 1270–1276 (2012).</w:t>
      </w:r>
    </w:p>
    <w:p>
      <w:pPr>
        <w:spacing w:after="20" w:before="20" w:line="480" w:lineRule="auto"/>
        <w:ind w:left="432" w:hanging="432"/>
        <w:jc w:val="both"/>
      </w:pPr>
      <w:r>
        <w:rPr>
          <w:rFonts w:ascii="Times New Roman" w:hAnsi="Times New Roman" w:eastAsia="Times New Roman"/>
          <w:b w:val="0"/>
          <w:i w:val="0"/>
          <w:sz w:val="20"/>
        </w:rPr>
        <w:t>Vezhnevets, A. S. et al. Generative agent-based modeling with actions grounded in physical, social, or digital space using Concordia. Preprint at https://arxiv.org/abs/2312.03664 (2023).</w:t>
      </w:r>
    </w:p>
    <w:sectPr w:rsidR="00FC693F" w:rsidRPr="0006063C" w:rsidSect="00034616">
      <w:footerReference w:type="default" r:id="rId11"/>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