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4="http://schemas.openxmlformats.org/officeDocument/2006/relationships" xmlns:w="http://schemas.openxmlformats.org/wordprocessingml/2006/main" xmlns:w14="http://schemas.microsoft.com/office/word/2010/wordml" xmlns:w16du="http://schemas.microsoft.com/office/word/2023/wordml/word16du" mc:Ignorable="w14 w15 w16se w16cid w16 w16cex w16sdtdh w16sdtfl w16du wp14">
  <w:body>
    <w:p w14:paraId="6B4013CC" w14:textId="77777777" w:rsidR="00F803C3" w:rsidRDefault="00000000">
      <w:pPr>
        <w:spacing w:after="120" w:line="480" w:lineRule="auto"/>
        <w:jc w:val="center"/>
      </w:pPr>
      <w:r>
        <w:rPr>
          <w:rFonts w:eastAsia="Times New Roman"/>
          <w:b/>
          <w:bCs/>
          <w:sz w:val="32"/>
          <w:szCs w:val="32"/>
        </w:rPr>
        <w:t>WAGF: A Governance Framework for LLM-Driven Agent-Based Models of Human?ater Systems</w:t>
      </w:r>
    </w:p>
    <w:p w14:paraId="14446E00" w14:textId="6A401164" w:rsidR="00F803C3" w:rsidRDefault="00000000">
      <w:pPr>
        <w:spacing w:after="60" w:line="480" w:lineRule="auto"/>
        <w:jc w:val="center"/>
      </w:pPr>
      <w:r>
        <w:rPr>
          <w:rFonts w:eastAsia="Times New Roman"/>
        </w:rPr>
        <w:t>Wen</w:t>
      </w:r>
      <w:ins w:id="0" w:author="Wenyu Chiou" w:date="2026-02-06T12:13:00Z" w16du:dateUtc="2026-02-06T17:13:00Z">
        <w:r w:rsidR="00D7280E">
          <w:rPr>
            <w:rFonts w:hint="eastAsia"/>
          </w:rPr>
          <w:t>y</w:t>
        </w:r>
      </w:ins>
      <w:del w:id="1" w:author="Wenyu Chiou" w:date="2026-02-06T12:13:00Z" w16du:dateUtc="2026-02-06T17:13:00Z">
        <w:r w:rsidDel="00D7280E">
          <w:rPr>
            <w:rFonts w:eastAsia="Times New Roman"/>
          </w:rPr>
          <w:delText>-Y</w:delText>
        </w:r>
      </w:del>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ins w:id="2" w:author="Wenyu Chiou" w:date="2026-02-06T12:13:00Z" w16du:dateUtc="2026-02-06T17:13:00Z">
        <w:r w:rsidR="00D7280E">
          <w:rPr>
            <w:rFonts w:hint="eastAsia"/>
            <w:sz w:val="22"/>
            <w:szCs w:val="22"/>
          </w:rPr>
          <w:t>324</w:t>
        </w:r>
      </w:ins>
      <w:del w:id="3" w:author="Wenyu Chiou" w:date="2026-02-06T12:13:00Z" w16du:dateUtc="2026-02-06T17:13:00Z">
        <w:r w:rsidDel="00D7280E">
          <w:rPr>
            <w:rFonts w:eastAsia="Times New Roman"/>
            <w:sz w:val="22"/>
            <w:szCs w:val="22"/>
          </w:rPr>
          <w:delText>225</w:delText>
        </w:r>
      </w:del>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rPr>
          <w:rFonts w:eastAsia="Times New Roman"/>
        </w:rPr>
        <w:t>WAGF reduces hallucination rate from 20.84% to 0.58??.80% in ungoverned LLM agents while preserving genuine behavioral diversity</w:t>
      </w:r>
      <w:del w:id="4" w:author="Claude" w:date="2026-02-01T14:58:00Z" w16du:dateUtc="2026-02-01T14:58:02Z">
        <w:r w:rsidR="00000000" w:rsidDel="1937EF80">
          <w:rPr>
            <w:rFonts w:eastAsia="Times New Roman"/>
          </w:rPr>
          <w:delText>8.3%</w:delText>
        </w:r>
      </w:del>
      <w:ins w:id="5" w:author="Claude" w:date="2026-02-01T14:58:00Z" w16du:dateUtc="2026-02-01T14:58:02Z">
        <w:del w:id="6" w:author="Claude" w:date="2026-02-05T00:00:00Z">
          <w:r>
            <w:rPr>
              <w:rFonts w:eastAsia="Times New Roman"/>
            </w:rPr>
            <w:delText>28.1%</w:delText>
          </w:r>
        </w:del>
      </w:ins>
      <w:ins w:id="7" w:author="Claude" w:date="2026-02-05T00:00:00Z">
        <w:r w:rsidR="00000000">
          <w:t>28.1%</w:t>
        </w:r>
      </w:ins>
      <w:r>
        <w:rPr>
          <w:rFonts w:eastAsia="Times New Roman"/>
        </w:rPr>
      </w:r>
      <w:del w:id="8" w:author="Claude" w:date="2026-02-01T14:58:00Z" w16du:dateUtc="2026-02-01T14:58:02Z">
        <w:r w:rsidR="00000000" w:rsidDel="1937EF80">
          <w:rPr>
            <w:rFonts w:eastAsia="Times New Roman"/>
          </w:rPr>
          <w:delText>1.7%</w:delText>
        </w:r>
      </w:del>
      <w:ins w:id="9" w:author="Claude" w:date="2026-02-01T14:58:00Z" w16du:dateUtc="2026-02-01T14:58:02Z">
        <w:del w:id="10" w:author="Claude" w:date="2026-02-05T00:00:00Z">
          <w:r>
            <w:rPr>
              <w:rFonts w:eastAsia="Times New Roman"/>
            </w:rPr>
            <w:delText>1.0%</w:delText>
          </w:r>
        </w:del>
      </w:ins>
      <w:ins w:id="11" w:author="Claude" w:date="2026-02-05T00:00:00Z">
        <w:r w:rsidR="00000000">
          <w:t>1.0%</w:t>
        </w:r>
      </w:ins>
      <w:r>
        <w:rPr>
          <w:rFonts w:eastAsia="Times New Roman"/>
        </w:rPr>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rPr>
          <w:rFonts w:eastAsia="Times New Roman"/>
        </w:rPr>
        <w:t>Governance middleware transfers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produce physically impossible decisions? phenomenon we term behavioral hallucination. We present WAGF (Water Agent Governance Framework), an open-source middleware that enforces domain-specific physical and institutional constraints on LLM-driven agents while preserving emergent behavioral diversity. WAGF implements three governance components: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??RH), which disentangles genuine decision diversity from hallucination-inflated entropy. In a flood adaptation case study (100 agents, 10 years, three Gemma 3 model sizes), ungoverned agents exhibit a 20.84% hallucination rate; WAGF-governed agents reduce this to 0.58??.80% while maintaining higher effective diversity (EBE = 0.78??.79). We demonstrate domain transferability through a Colorado River irrigation case study (78 districts, 42 years). The framework, metrics, and experiment code are available at [GitHub URL].</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rPr>
          <w:rFonts w:eastAsia="Times New Roman"/>
        </w:rPr>
        <w:t>Artificial intelligence language models can power virtual agents that make human-like decisions in water management simulations. However, without oversight, these agents make impossible choices?ike buying flood insurance they already own or elevating a home that is already raised. We developed WAGF, a software layer that checks each agent?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middleware between LLM reasoning and simulation state transition. The LLM layer proposes candidate actions, WAGF checks those proposals against explicit behavioral and feasibility constraints, and the execution layer applies only approved actions to the environment (Figure 1). WAGF does not generate domain decisions on behalf of agents and does not mutate environment state directly.</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rPr>
          <w:rFonts w:eastAsia="Times New Roman"/>
          <w:b/>
          <w:bCs/>
        </w:rPr>
        <w: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w:t>
      </w:r>
      <w:r>
        <w:rPr>
          <w:rFonts w:eastAsia="Times New Roman"/>
        </w:rPr>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ins w:id="20" w:author="Claude" w:date="2026-02-01T04:26:00Z" w16du:dateUtc="2026-02-01T04:26:18Z"/>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n_total          (1)</w:t>
      </w:r>
    </w:p>
    <w:p w14:paraId="51E4AFA6" w14:textId="77777777" w:rsidR="00F803C3" w:rsidRDefault="00000000">
      <w:pPr>
        <w:spacing w:after="120" w:line="480" w:lineRule="auto"/>
        <w:jc w:val="both"/>
      </w:pPr>
      <w:r>
        <w:t>R_R = n_think / n_total          (2)</w:t>
      </w:r>
    </w:p>
    <w:p w14:paraId="4D3349D9" w14:textId="77777777" w:rsidR="00F803C3" w:rsidRDefault="00000000">
      <w:pPr>
        <w:spacing w:before="120" w:after="120" w:line="480" w:lineRule="auto"/>
        <w:jc w:val="center"/>
      </w:pPr>
      <w:r>
        <w:t>R_H is the feasibility hallucination rate (identity-rule ERROR rejections), while R_R is the rationality-deviation rate (thinking-rule ERROR rejections). We define Effective Behavioral Entropy (EBE) as diversity adjusted by feasibility hallucination burden only: EBE = H_norm * (1 - R_H), with H_norm = H / log2(k) and H = -sum_i p_i log2(p_i)          (3)</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rPr>
          <w:rFonts w:eastAsia="Times New Roman"/>
        </w:rPr>
        <w:t>We compare three governance configurations using Gemma 3 4B (Gemma Team, 2024) as the primary LLM: Group A (ungoverned?aw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home, proposing insurance for an already insured household, or proposing composite actions with already-completed components. Thinking-rule failures are tracked as rationality deviations (R_R) rather than hallucinations. Year 1 is excluded because no prior state exists.</w:t>
      </w:r>
    </w:p>
    <w:p w14:paraId="1588D2D4" w14:textId="77777777" w:rsidR="00F803C3" w:rsidRDefault="1937EF80">
      <w:pPr>
        <w:spacing w:after="120" w:line="480" w:lineRule="auto"/>
        <w:ind w:firstLine="360"/>
        <w:jc w:val="both"/>
      </w:pPr>
      <w:r>
        <w:t>Using this definition, Group A exhibits a mean feasibility hallucination rate R_H of 20.84% across years 2-10, driven by redundant or infeasible proposals. Group B reduces R_H to 0.58% through governance intervention, while Group C yields 2.80% with governance plus human-centric memory. R_R is treated as a complementary coherence diagnostic derived from thinking-rule ERROR traces.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Ungoverned agents (Group A) show high raw entropy (mean H_norm = 0.664) that appears to indicate rich behavioral diversity, but EBE shows this diversity is feasibility-inflated: mean EBE = 0.526 (Equation 3). Governed agents maintain higher effective diversity (Group B: EBE = 0.785, Group C: EBE = 0.782) despite lower raw entropy, because identity-rule feasibility is enforced. By construction, EBE is adjusted by R_H and not by R_R.</w:t>
      </w:r>
    </w:p>
    <w:p w14:paraId="73B224E5" w14:textId="77777777" w:rsidR="00F803C3" w:rsidRDefault="00000000">
      <w:pPr>
        <w:spacing w:after="120" w:line="480" w:lineRule="auto"/>
        <w:ind w:firstLine="360"/>
        <w:jc w:val="both"/>
      </w:pPr>
      <w:r>
        <w:rPr>
          <w:rFonts w:eastAsia="Times New Roman"/>
        </w:rPr>
        <w:t>The most striking behavioral difference is relocation. Group A produces zero cumulative relocations?gents repeatedly choose ?o nothing??or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rPr>
          <w:b/>
          <w:sz w:val="20"/>
        </w:rPr>
        <w:t>Table 1 (continued). Detailed flood adaptation metrics for Gemma3 4B across three governance configurations (100 agents, 10 years). Values are mean over years 2??0.</w:t>
      </w:r>
      <w:r w:rsidR="1937EF80">
        <w:rPr>
          <w:i/>
          <w:sz w:val="20"/>
        </w:rPr>
      </w:r>
      <w:del w:id="46" w:author="Claude" w:date="2026-02-01T14:58:00Z" w16du:dateUtc="2026-02-01T14:58:02Z">
        <w:r w:rsidDel="1937EF80">
          <w:rPr>
            <w:i/>
            <w:sz w:val="20"/>
          </w:rPr>
          <w:delText>N = 900 decisions per group</w:delText>
        </w:r>
      </w:del>
      <w:ins w:id="47" w:author="Claude" w:date="2026-02-01T14:58:00Z" w16du:dateUtc="2026-02-01T14:58:02Z">
        <w:r w:rsidR="1937EF80">
          <w:rPr>
            <w:i/>
            <w:sz w:val="20"/>
          </w:rPr>
          <w:t>N = 898, 727, and 743 decisions for Groups A, B, and C respectively</w:t>
        </w:r>
      </w:ins>
      <w:r w:rsidR="1937EF80">
        <w:rPr>
          <w:i/>
          <w:sz w:val="20"/>
        </w:rPr>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R_H: A vs B: U=92, p=0.002, d=2.47; A vs C: U=92.5, p=0.001, d=3.29. EBE: A vs B: U=22, p=0.038, d=0.61; A vs C: U=25, p=0.064, d=1.10. Omnibus R_H: KW=14.75, p&lt;0.001, eta=0.47; Omnibus EBE: KW=5.44, p=0.066. R_R is reported as a complementary audit-based coherence diagnostic and is not included in Equation (3).</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ins w:id="103" w:author="Claude" w:date="2026-02-09T00:22:33Z" w16du:dateUtc="2026-02-09T00:22:33Z"/>
        </w:rPr>
      </w:pPr>
      <w:ins w:id="104" w:author="Claude" w:date="2026-02-09T00:22:33Z" w16du:dateUtc="2026-02-09T00:22:33Z">
        <w:r w:rsidR="BE341ECD">
          <w:t xml:space="preserve">To demonstrate domain transferability, we apply WAGF to irrigation demand management in the Colorado River Basin without modifying broker architecture. We instantiate 78 irrigation districts mapped one-to-one to CRSS diversion nodes (56 Upper Basin, 22 Lower Basin), simulated over 42 years (2019–2060) with CRSS PRISM precipitation projections (USBR, 2012). Three behavioral clusters derived from k-means analysis of calibrated FQL parameters (Hung and Yang, 2021) are mapped to LLM persona templates: Aggressive (large demand swings, low regret sensitivity), Forward-Looking Conservative (future-oriented, high regret sensitivity), and Myopic Conservative (status-quo biased, incremental adjustments). Agents select among five graduated skills (increase_large, increase_small, maintain_demand, decrease_small, decrease_large) through natural-language reasoning, while demand-change magnitude is independently sampled from cluster-parameterized Gaussian distributions at execution time—a hybrid agency design that separates qualitative strategic choice (LLM) from quantitative magnitude (code). Across flood and irrigation, the framework changes only in YAML-level artifacts: skill definitions, validator rules, appraisal constructs, and persona templates.</w:t>
        </w:r>
      </w:ins>
    </w:p>
    <w:p w:rsidR="BE341ECD" w:rsidRDefault="BE341ECD" w:rsidP="BE341ECD" w14:paraId="57ECC17F" w14:textId="218EF834">
      <w:pPr>
        <w:spacing w:after="120" w:line="480" w:lineRule="auto"/>
        <w:ind w:firstLine="360"/>
        <w:jc w:val="both"/>
        <w:rPr>
          <w:ins w:id="105" w:author="Claude" w:date="2026-02-09T00:22:33Z" w16du:dateUtc="2026-02-09T00:22:33Z"/>
        </w:rPr>
      </w:pPr>
      <w:ins w:id="106" w:author="Claude" w:date="2026-02-09T00:22:33Z" w16du:dateUtc="2026-02-09T00:22:33Z">
        <w:r w:rsidR="BE341ECD">
          <w:t xml:space="preserve">The irrigation domain introduces two extensions absent from the flood case. First, endogenous human–water coupling: agent demand decisions influence Lake Mead storage via an annual mass balance (SI Section S6), and the resulting elevation changes trigger USBR shortage tiers and curtailment ratios that constrain future decisions—creating a bidirectional feedback loop that the governance chain must mediate without hard-coded demand schedules. Second, a demand corridor bounds agent behavior between a per-agent floor (50% of water right; blocks over-conservation) and a basin-wide ceiling (6.0 MAF aggregate demand; blocks collective overshoot). This corridor is the institutional equivalent of the FQL reward function’s regret penalty: in reinforcement learning, over-demand is penalized through negative reward and agents self-regulate; in WAGF, the same equilibrium boundary is encoded as governance rules, reflecting how real-world administrative mechanisms (compacts, allocation limits) constrain behavior rather than relying on individual experiential learning alone.</w:t>
        </w:r>
      </w:ins>
    </w:p>
    <w:p w14:paraId="37A210A7" w14:textId="77777777" w:rsidR="CF7DCF98" w:rsidRDefault="CF7DCF98" w:rsidP="CF7DCF98">
      <w:pPr>
        <w:spacing w:after="120" w:line="480" w:lineRule="auto"/>
        <w:ind w:firstLine="360"/>
        <w:jc w:val="both"/>
      </w:pPr>
      <w:del w:id="113" w:author="Claude" w:date="2026-02-09T00:22:33Z" w16du:dateUtc="2026-02-09T00:22:33Z">
        <w:r w:rsidDel="BE341ECD">
          <w:delText>To demonstrate domain transferability, we apply WAGF to irrigation demand management in the Colorado River Basin without modifying broker architecture. We instantiate a domain configuration following Hung and Yang (2021): 78 irrigation districts mapped one-to-one to CRSS diversion nodes (56 Upper Basin, 22 Lower Basin), simulated over 42 years (2019-2060) with CRSS precipitation projections (USBR, 2012). Three behavioral clusters from Farmer Q-Learning calibration (Aggressive, Forward-Looking Conservative, Myopic Conservative) are mapped to LLM persona templates encoding risk attitude and demand-adjustment tendency (Yang et al., 2009; Hadjimichael et al., 2020). Across flood and irrigation, the framework changes only in YAML-level artifacts: skill definitions, validator rules, appraisal constructs, and persona templates.</w:delText>
        </w:r>
      </w:del>
    </w:p>
    <w:p w14:paraId="5F65BAD8" w14:textId="77777777" w:rsidR="CF7DCF98" w:rsidRDefault="CF7DCF98" w:rsidP="CF7DCF98">
      <w:pPr>
        <w:spacing w:after="120" w:line="480" w:lineRule="auto"/>
        <w:ind w:firstLine="360"/>
        <w:jc w:val="both"/>
      </w:pPr>
      <w:del w:id="114" w:author="Claude" w:date="2026-02-09T00:22:33Z" w16du:dateUtc="2026-02-09T00:22:33Z">
        <w:r w:rsidDel="BE341ECD">
          <w:delText>The irrigation domain stresses capabilities not exercised in flood adaptation: cluster-specific magnitude caps (20%/15%/8%), Colorado River Compact-linked constraints (allocation limits and drought tiers), and a dual-appraisal scheme (Water Scarcity Assessment and Adaptive Capacity Assessment) replacing flood PMT constructs. The broker pipeline, retry-and-feedback mechanism, and audit trace structure remain unchanged.</w:delText>
        </w:r>
      </w:del>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ins w:id="107" w:author="Claude" w:date="2026-02-09T00:22:33Z" w16du:dateUtc="2026-02-09T00:22:33Z"/>
        </w:rPr>
      </w:pPr>
      <w:ins w:id="108" w:author="Claude" w:date="2026-02-09T00:22:33Z" w16du:dateUtc="2026-02-09T00:22:33Z">
        <w:r w:rsidR="BE341ECD">
          <w:t xml:space="preserve">In current production traces (78 agents, years 1–27), governance outcomes remain active throughout multi-decadal simulation: 58.9% of agent-year decisions are approved on first attempt, 19.5% succeed after retry-mediated correction, and 40.4% are ultimately rejected (with maintain_demand executed as fallback). Importantly, retry-mediated recovery indicates that governance interventions function as corrective mechanisms preserving agent execution continuity, not purely terminal filters. Intervention counts are reported as governance workload indicators; because one decision can induce multiple retry attempts, retry statistics are not interpreted as counts of unique violating agents.</w:t>
        </w:r>
      </w:ins>
    </w:p>
    <w:p w:rsidR="BE341ECD" w:rsidRDefault="BE341ECD" w:rsidP="BE341ECD" w14:paraId="0FD43808" w14:textId="47E802C6">
      <w:pPr>
        <w:spacing w:after="120" w:line="480" w:lineRule="auto"/>
        <w:ind w:firstLine="360"/>
        <w:jc w:val="both"/>
        <w:rPr>
          <w:ins w:id="109" w:author="Claude" w:date="2026-02-09T00:22:33Z" w16du:dateUtc="2026-02-09T00:22:33Z"/>
        </w:rPr>
      </w:pPr>
      <w:ins w:id="110" w:author="Claude" w:date="2026-02-09T00:22:33Z" w16du:dateUtc="2026-02-09T00:22:33Z">
        <w:r w:rsidR="BE341ECD">
          <w:t xml:space="preserve">Rule-frequency diagnostics reveal that intervention burden concentrates on hydrologically meaningful constraints. The most frequently triggered rule is demand_ceiling_stabilizer (n=923), followed by high_threat_high_cope_no_increase (n=701) and curtailment_awareness_check (n=177), indicating that governance increasingly enforces feasibility boundaries under chronic shortage conditions. Cluster differentiation remains visible in governed outcomes and is qualitatively consistent with original FQL cluster behavior (Hung and Yang, 2021, Figure 7). Despite high rejection pressure, approved-action diversity remains substantial: normalized entropy over five actions yields H_norm = 0.74, supporting the claim that WAGF constrains implausible behaviors without collapsing the behavioral repertoire.</w:t>
        </w:r>
      </w:ins>
    </w:p>
    <w:p w:rsidR="BE341ECD" w:rsidRDefault="BE341ECD" w:rsidP="BE341ECD" w14:paraId="2A00E618" w14:textId="02C3F51C">
      <w:pPr>
        <w:spacing w:after="120" w:line="480" w:lineRule="auto"/>
        <w:ind w:firstLine="360"/>
        <w:jc w:val="both"/>
        <w:rPr>
          <w:ins w:id="111" w:author="Claude" w:date="2026-02-09T00:22:33Z" w16du:dateUtc="2026-02-09T00:22:33Z"/>
        </w:rPr>
      </w:pPr>
      <w:ins w:id="112" w:author="Claude" w:date="2026-02-09T00:22:33Z" w16du:dateUtc="2026-02-09T00:22:33Z">
        <w:r w:rsidR="BE341ECD">
          <w:t xml:space="preserve">The irrigation case validates the metric framework introduced in Section 3. Infeasible proposals (e.g., increasing demand at allocation cap, decreasing below minimum utilization) contribute to feasibility hallucination rate R_H. Coherence failures that remain technically feasible (e.g., high scarcity assessment with high adaptive capacity selecting increase) are tracked as rationality deviation R_R through thinking-rule ERROR traces, enabling cross-domain comparison of governance performance without conflating infeasibility and bounded-rational behavior.</w:t>
        </w:r>
      </w:ins>
    </w:p>
    <w:p w14:paraId="0051CFE8" w14:textId="77777777" w:rsidR="CF7DCF98" w:rsidRDefault="CF7DCF98" w:rsidP="CF7DCF98">
      <w:pPr>
        <w:spacing w:after="120" w:line="480" w:lineRule="auto"/>
        <w:ind w:firstLine="360"/>
        <w:jc w:val="both"/>
      </w:pPr>
      <w:del w:id="115" w:author="Claude" w:date="2026-02-09T00:22:33Z" w16du:dateUtc="2026-02-09T00:22:33Z">
        <w:r w:rsidDel="BE341ECD">
          <w:delText>Given currently archived artifacts, full 42-year simulation_log exports are pending; therefore this Technical Note reports conservative transfer evidence from complete production trace logs rather than final trajectory-fit statistics. Across 2,106 decisions in v20 (years 1-27, 78 districts), approved and rejected outcomes were 58.9% and 40.4%, with retry-mediated recovery in 19.5% of decisions. In v19 (2,169 decisions, years 1-28), corresponding rates were 70.6%, 29.2%, and 21.6%.</w:delText>
        </w:r>
      </w:del>
    </w:p>
    <w:p w14:paraId="5DA1A643" w14:textId="77777777" w:rsidR="CF7DCF98" w:rsidRDefault="CF7DCF98" w:rsidP="CF7DCF98">
      <w:pPr>
        <w:spacing w:after="120" w:line="480" w:lineRule="auto"/>
        <w:ind w:firstLine="360"/>
        <w:jc w:val="both"/>
      </w:pPr>
      <w:del w:id="116" w:author="Claude" w:date="2026-02-09T00:22:33Z" w16du:dateUtc="2026-02-09T00:22:33Z">
        <w:r w:rsidDel="BE341ECD">
          <w:delText>Despite substantial governance pressure, behavior does not collapse to a single action. In v20, approved-skill distribution spans all five actions with normalized entropy H_norm = 0.7398 (k = 5). We interpret retries and interventions as governance workload indicators, not unique-violation counts, because one decision can trigger multiple retry attempts. This supports the cross-domain claim that WAGF reduces infeasible or irrational proposals while preserving population-level behavioral diversity.</w:delText>
        </w:r>
      </w:del>
    </w:p>
    <w:p w14:paraId="1D742DE9" w14:textId="77777777" w:rsidR="CF7DCF98" w:rsidRDefault="CF7DCF98" w:rsidP="CF7DCF98">
      <w:pPr>
        <w:spacing w:after="120" w:line="480" w:lineRule="auto"/>
        <w:ind w:firstLine="360"/>
        <w:jc w:val="both"/>
      </w:pPr>
      <w:del w:id="117" w:author="Claude" w:date="2026-02-09T00:22:33Z" w16du:dateUtc="2026-02-09T00:22:33Z">
        <w:r w:rsidDel="BE341ECD">
          <w:delText>The irrigation case highlights the same metric split used in Section 3. Infeasible proposals (e.g., violating minimum-utilisation or allocation-cap identity checks) contribute to feasibility hallucination rate R_H. Coherence failures that remain technically feasible are tracked as rationality deviation R_R via thinking-rule ERROR traces. This separation allows cross-domain comparison of governance performance without conflating infeasibility and bounded-rational behavior.</w:delText>
        </w:r>
      </w:del>
    </w:p>
    <w:p w14:paraId="0D121625" w14:textId="77777777" w:rsidR="CF7DCF98" w:rsidRDefault="CF7DCF98" w:rsidP="CF7DCF98">
      <w:pPr>
        <w:spacing w:before="240" w:after="60" w:line="480" w:lineRule="auto"/>
        <w:jc w:val="center"/>
      </w:pPr>
      <w:del w:id="86" w:author="Claude" w:date="2026-02-03T02:55:00Z" w16du:dateUtc="2026-02-03T02:55:15Z">
        <w:r w:rsidDel="CB5E44CF">
          <w:rPr>
            <w:rFonts w:eastAsia="Times New Roman"/>
            <w:i/>
            <w:iCs/>
            <w:color w:val="CC0000"/>
          </w:rPr>
          <w:delText>[FIGURE 4: WAGF-governed irrigation demand vs. CRSS baseline. (a) Upper Basin, (b) Lower Basin, 2019??060. 78 real CRSS districts, Gemma 3 4B.]</w:delText>
        </w:r>
      </w:del>
      <w:ins w:id="87" w:author="Claude" w:date="2026-02-03T02:55:00Z" w16du:dateUtc="2026-02-03T02:55:15Z">
        <w:r w:rsidR="CB5E44CF">
          <w:rPr>
            <w:rFonts w:eastAsia="Times New Roman"/>
            <w:i/>
            <w:iCs/>
            <w:color w:val="CC0000"/>
          </w:rPr>
          <w:t>[FIGURE 4: Irrigation transfer diagnostics from production traces. (a) Governance outcome proportions by year (Approved, Retry-success, Rejected), (b) Top rule-trigger frequencies, (c) Approved action composition with normalized entropy. 78 CRSS districts, production traces v19-v20.]</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ins w:id="118" w:author="Claude" w:date="2026-02-09T00:26:01Z" w16du:dateUtc="2026-02-09T00:26:01Z"/>
        </w:rPr>
      </w:pPr>
      <w:ins w:id="119" w:author="Claude" w:date="2026-02-09T00:26:01Z" w16du:dateUtc="2026-02-09T00:26:01Z">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ins>
    </w:p>
    <w:p w14:paraId="13EAB3F9" w14:textId="77777777" w:rsidR="00F803C3" w:rsidRDefault="9E21DE22">
      <w:pPr>
        <w:spacing w:after="120" w:line="480" w:lineRule="auto"/>
        <w:ind w:firstLine="360"/>
        <w:jc w:val="both"/>
      </w:pPr>
      <w:r w:rsidR="E8F849E9">
        <w: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ins w:id="201" w:author="Claude" w:date="2026-02-07T22:00:00Z" w16du:dateUtc="2026-02-09T00:26:01Z">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ins>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middleware for LLM-driven agent-based modeling of human-water systems, together with a feasibility-adjusted diversity metric (EBE). Across two domains, three conclusions are supported by the reported experiments.</w:t>
      </w:r>
    </w:p>
    <w:p w14:paraId="5FDBF738" w14:textId="77777777" w:rsidR="00F803C3" w:rsidRDefault="1937EF80">
      <w:pPr>
        <w:spacing w:after="120" w:line="480" w:lineRule="auto"/>
        <w:ind w:firstLine="360"/>
        <w:jc w:val="both"/>
      </w:pPr>
      <w:r>
        <w:t>First, infeasible proposal generation is a systematic risk in ungoverned settings. In the flood case, ungoverned agents show R_H = 20.84%, indicating persistent identity/feasibility violations that are not removed by fluent text generation alone.</w:t>
      </w:r>
    </w:p>
    <w:p w14:paraId="14A813A3" w14:textId="77777777" w:rsidR="259F63AB" w:rsidRDefault="259F63AB" w:rsidP="259F63AB">
      <w:pPr>
        <w:spacing w:after="120" w:line="480" w:lineRule="auto"/>
        <w:ind w:firstLine="360"/>
        <w:jc w:val="both"/>
        <w:rPr>
          <w:ins w:id="102" w:author="Claude" w:date="2026-02-01T04:26:00Z" w16du:dateUtc="2026-02-01T04:26:18Z"/>
        </w:rPr>
      </w:pPr>
      <w:r>
        <w:t>Second, governance improves effective diversity by reducing infeasible proposal mass rather than collapsing behavior. Governed groups show higher EBE than the ungoverned baseline and substantially higher cumulative relocation, consistent with a larger share of behavior occurring inside feasible action space.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ins w:id="200" w:author="Claude" w:date="2026-02-07T22:00:00Z" w16du:dateUtc="2026-02-09T00:26:01Z">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ins>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rPr>
          <w:rFonts w:eastAsia="Times New Roman"/>
        </w:rPr>
        <w:t xml:space="preserve">Hadjimichael, A., et al. (2020). Defining robustness for diverse stakeholder interests in institutionally complex river basins. </w:t>
      </w:r>
      <w:r>
        <w:rPr>
          <w:rFonts w:eastAsia="Times New Roman"/>
          <w:i/>
          <w:iCs/>
        </w:rPr>
        <w:t>Earth? Future</w:t>
      </w:r>
      <w:r>
        <w:rPr>
          <w:rFonts w:eastAsia="Times New Roman"/>
        </w:rPr>
        <w:t>,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sectPr w:rsidR="00F803C3">
      <w:headerReference w:type="default" ns4:id="rId7"/>
      <w:footerReference w:type="default" ns4: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