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microsoft.com/office/word/2023/wordml/word16du" xmlns:ns4="http://schemas.openxmlformats.org/officeDocument/2006/relationships" ns1:Ignorable="w14 w15 w16se w16cid w16 w16cex w16sdtdh w16sdtfl w16du wp14">
  <ns0:body>
    <ns0:p ns2:paraId="6B4013CC" ns2:textId="77777777" ns0:rsidR="00F803C3" ns0:rsidRDefault="00000000">
      <ns0:pPr>
        <ns0:spacing ns0:after="120" ns0:line="480" ns0:lineRule="auto"/>
        <ns0:jc ns0:val="center"/>
      </ns0:pPr>
      <ns0:r>
        <ns0:rPr>
          <ns0:rFonts ns0:eastAsia="Times New Roman"/>
          <ns0:b/>
          <ns0:bCs/>
          <ns0:sz ns0:val="32"/>
          <ns0:szCs ns0:val="32"/>
        </ns0:rPr>
        <ns0:t>WAGF: A Governance Framework for LLM-Driven Agent-Based Models of Human–Water Systems</ns0:t>
      </ns0:r>
    </ns0:p>
    <ns0:p ns2:paraId="14446E00" ns2:textId="6A401164" ns0:rsidR="00F803C3" ns0:rsidRDefault="00000000">
      <ns0:pPr>
        <ns0:spacing ns0:after="60" ns0:line="480" ns0:lineRule="auto"/>
        <ns0:jc ns0:val="center"/>
      </ns0:pPr>
      <ns0:r>
        <ns0:rPr>
          <ns0:rFonts ns0:eastAsia="Times New Roman"/>
        </ns0:rPr>
        <ns0:t>Wen</ns0:t>
      </ns0:r>
      <ns0:ins ns0:id="0" ns0:author="Wenyu Chiou" ns0:date="2026-02-06T12:13:00Z" ns3:dateUtc="2026-02-06T17:13:00Z">
        <ns0:r ns0:rsidR="00D7280E">
          <ns0:rPr>
            <ns0:rFonts ns0:hint="eastAsia"/>
          </ns0:rPr>
          <ns0:t>y</ns0:t>
        </ns0:r>
      </ns0:ins>
      <ns0:del ns0:id="1" ns0:author="Wenyu Chiou" ns0:date="2026-02-06T12:13:00Z" ns3:dateUtc="2026-02-06T17:13:00Z">
        <ns0:r ns0:rsidDel="00D7280E">
          <ns0:rPr>
            <ns0:rFonts ns0:eastAsia="Times New Roman"/>
          </ns0:rPr>
          <ns0:delText>-Y</ns0:delText>
        </ns0:r>
      </ns0:del>
      <ns0:r>
        <ns0:rPr>
          <ns0:rFonts ns0:eastAsia="Times New Roman"/>
        </ns0:rPr>
        <ns0:t>u Chen</ns0:t>
      </ns0:r>
      <ns0:r>
        <ns0:rPr>
          <ns0:rFonts ns0:eastAsia="Times New Roman"/>
          <ns0:vertAlign ns0:val="superscript"/>
        </ns0:rPr>
        <ns0:t>1</ns0:t>
      </ns0:r>
      <ns0:r>
        <ns0:rPr>
          <ns0:rFonts ns0:eastAsia="Times New Roman"/>
        </ns0:rPr>
        <ns0:t>, Second Author</ns0:t>
      </ns0:r>
      <ns0:r>
        <ns0:rPr>
          <ns0:rFonts ns0:eastAsia="Times New Roman"/>
          <ns0:vertAlign ns0:val="superscript"/>
        </ns0:rPr>
        <ns0:t>1</ns0:t>
      </ns0:r>
    </ns0:p>
    <ns0:p ns2:paraId="203CB744" ns2:textId="77777777" ns0:rsidR="00F803C3" ns0:rsidRDefault="00000000">
      <ns0:pPr>
        <ns0:spacing ns0:after="240" ns0:line="480" ns0:lineRule="auto"/>
        <ns0:jc ns0:val="center"/>
      </ns0:pPr>
      <ns0:r>
        <ns0:rPr>
          <ns0:rFonts ns0:eastAsia="Times New Roman"/>
          <ns0:vertAlign ns0:val="superscript"/>
        </ns0:rPr>
        <ns0:t>1</ns0:t>
      </ns0:r>
      <ns0:r>
        <ns0:rPr>
          <ns0:rFonts ns0:eastAsia="Times New Roman"/>
          <ns0:i/>
          <ns0:iCs/>
          <ns0:sz ns0:val="22"/>
          <ns0:szCs ns0:val="22"/>
        </ns0:rPr>
        <ns0:t>Department of Civil and Environmental Engineering, Lehigh University, Bethlehem, PA, USA</ns0:t>
      </ns0:r>
    </ns0:p>
    <ns0:p ns2:paraId="544F6732" ns2:textId="3689DC4B" ns0:rsidR="00F803C3" ns0:rsidRDefault="00000000">
      <ns0:pPr>
        <ns0:spacing ns0:after="360" ns0:line="480" ns0:lineRule="auto"/>
        <ns0:jc ns0:val="center"/>
      </ns0:pPr>
      <ns0:r>
        <ns0:rPr>
          <ns0:rFonts ns0:eastAsia="Times New Roman"/>
          <ns0:sz ns0:val="22"/>
          <ns0:szCs ns0:val="22"/>
        </ns0:rPr>
        <ns0:t>Corresponding author: Wen-Yu Chen (wec</ns0:t>
      </ns0:r>
      <ns0:ins ns0:id="2" ns0:author="Wenyu Chiou" ns0:date="2026-02-06T12:13:00Z" ns3:dateUtc="2026-02-06T17:13:00Z">
        <ns0:r ns0:rsidR="00D7280E">
          <ns0:rPr>
            <ns0:rFonts ns0:hint="eastAsia"/>
            <ns0:sz ns0:val="22"/>
            <ns0:szCs ns0:val="22"/>
          </ns0:rPr>
          <ns0:t>324</ns0:t>
        </ns0:r>
      </ns0:ins>
      <ns0:del ns0:id="3" ns0:author="Wenyu Chiou" ns0:date="2026-02-06T12:13:00Z" ns3:dateUtc="2026-02-06T17:13:00Z">
        <ns0:r ns0:rsidDel="00D7280E">
          <ns0:rPr>
            <ns0:rFonts ns0:eastAsia="Times New Roman"/>
            <ns0:sz ns0:val="22"/>
            <ns0:szCs ns0:val="22"/>
          </ns0:rPr>
          <ns0:delText>225</ns0:delText>
        </ns0:r>
      </ns0:del>
      <ns0:r>
        <ns0:rPr>
          <ns0:rFonts ns0:eastAsia="Times New Roman"/>
          <ns0:sz ns0:val="22"/>
          <ns0:szCs ns0:val="22"/>
        </ns0:rPr>
        <ns0:t>@lehigh.edu)</ns0:t>
      </ns0:r>
    </ns0:p>
    <ns0:p ns2:paraId="0536CB8C" ns2:textId="77777777" ns0:rsidR="00F803C3" ns0:rsidRDefault="00000000">
      <ns0:pPr>
        <ns0:pStyle ns0:val="1"/>
        <ns0:spacing ns0:line="480" ns0:lineRule="auto"/>
      </ns0:pPr>
      <ns0:r>
        <ns0:t>Key Points</ns0:t>
      </ns0:r>
    </ns0:p>
    <ns0:p ns2:paraId="222B804B" ns2:textId="77777777" ns0:rsidR="00F803C3" ns0:rsidRDefault="1937EF80">
      <ns0:pPr>
        <ns0:pStyle ns0:val="a4"/>
        <ns0:numPr>
          <ns0:ilvl ns0:val="0"/>
          <ns0:numId ns0:val="2"/>
        </ns0:numPr>
        <ns0:spacing ns0:line="480" ns0:lineRule="auto"/>
      </ns0:pPr>
      <ns0:r>
        <ns0:rPr>
          <ns0:rFonts ns0:eastAsia="Times New Roman"/>
        </ns0:rPr>
        <ns0:t>WAGF reduces hallucination rate from 20.84% to 0.58–2.80% in ungoverned LLM agents while preserving genuine behavioral diversity</ns0:t>
      </ns0:r>
      <ns0:del ns0:id="4" ns0:author="Claude" ns0:date="2026-02-01T14:58:00Z" ns3:dateUtc="2026-02-01T14:58:02Z">
        <ns0:r ns0:rsidR="00000000" ns0:rsidDel="1937EF80">
          <ns0:rPr>
            <ns0:rFonts ns0:eastAsia="Times New Roman"/>
          </ns0:rPr>
          <ns0:delText>8.3%</ns0:delText>
        </ns0:r>
      </ns0:del>
      <ns0:ins ns0:id="5" ns0:author="Claude" ns0:date="2026-02-01T14:58:00Z" ns3:dateUtc="2026-02-01T14:58:02Z">
        <ns0:del ns0:id="6" ns0:author="Claude" ns0:date="2026-02-05T00:00:00Z">
          <ns0:r>
            <ns0:rPr>
              <ns0:rFonts ns0:eastAsia="Times New Roman"/>
            </ns0:rPr>
            <ns0:delText>28.1%</ns0:delText>
          </ns0:r>
        </ns0:del>
      </ns0:ins>
      <ns0:ins ns0:id="7" ns0:author="Claude" ns0:date="2026-02-05T00:00:00Z">
        <ns0:r ns0:rsidR="00000000">
          <ns0:t>28.1%</ns0:t>
        </ns0:r>
      </ns0:ins>
      <ns0:r>
        <ns0:rPr>
          <ns0:rFonts ns0:eastAsia="Times New Roman"/>
        </ns0:rPr>
      </ns0:r>
      <ns0:del ns0:id="8" ns0:author="Claude" ns0:date="2026-02-01T14:58:00Z" ns3:dateUtc="2026-02-01T14:58:02Z">
        <ns0:r ns0:rsidR="00000000" ns0:rsidDel="1937EF80">
          <ns0:rPr>
            <ns0:rFonts ns0:eastAsia="Times New Roman"/>
          </ns0:rPr>
          <ns0:delText>1.7%</ns0:delText>
        </ns0:r>
      </ns0:del>
      <ns0:ins ns0:id="9" ns0:author="Claude" ns0:date="2026-02-01T14:58:00Z" ns3:dateUtc="2026-02-01T14:58:02Z">
        <ns0:del ns0:id="10" ns0:author="Claude" ns0:date="2026-02-05T00:00:00Z">
          <ns0:r>
            <ns0:rPr>
              <ns0:rFonts ns0:eastAsia="Times New Roman"/>
            </ns0:rPr>
            <ns0:delText>1.0%</ns0:delText>
          </ns0:r>
        </ns0:del>
      </ns0:ins>
      <ns0:ins ns0:id="11" ns0:author="Claude" ns0:date="2026-02-05T00:00:00Z">
        <ns0:r ns0:rsidR="00000000">
          <ns0:t>1.0%</ns0:t>
        </ns0:r>
      </ns0:ins>
      <ns0:r>
        <ns0:rPr>
          <ns0:rFonts ns0:eastAsia="Times New Roman"/>
        </ns0:rPr>
      </ns0:r>
    </ns0:p>
    <ns0:p ns2:paraId="79E58D31" ns2:textId="77777777" ns0:rsidR="00F803C3" ns0:rsidRDefault="00000000">
      <ns0:pPr>
        <ns0:pStyle ns0:val="a4"/>
        <ns0:numPr>
          <ns0:ilvl ns0:val="0"/>
          <ns0:numId ns0:val="2"/>
        </ns0:numPr>
        <ns0:spacing ns0:line="480" ns0:lineRule="auto"/>
      </ns0:pPr>
      <ns0:r>
        <ns0:rPr>
          <ns0:rFonts ns0:eastAsia="Times New Roman"/>
        </ns0:rPr>
        <ns0:t>Effective Behavioral Entropy (EBE) metric separates true decision diversity from hallucination-inflated entropy</ns0:t>
      </ns0:r>
    </ns0:p>
    <ns0:p ns2:paraId="766689BB" ns2:textId="77777777" ns0:rsidR="00F803C3" ns0:rsidRDefault="00000000">
      <ns0:pPr>
        <ns0:pStyle ns0:val="a4"/>
        <ns0:numPr>
          <ns0:ilvl ns0:val="0"/>
          <ns0:numId ns0:val="2"/>
        </ns0:numPr>
        <ns0:spacing ns0:after="240" ns0:line="480" ns0:lineRule="auto"/>
      </ns0:pPr>
      <ns0:r>
        <ns0:rPr>
          <ns0:rFonts ns0:eastAsia="Times New Roman"/>
        </ns0:rPr>
        <ns0:t>Governance middleware transfers across domains: flood adaptation (100 agents, 10 yr) and irrigation (78 agents, 42 yr)</ns0:t>
      </ns0:r>
    </ns0:p>
    <ns0:p ns2:paraId="56BED1BB" ns2:textId="77777777" ns0:rsidR="00F803C3" ns0:rsidRDefault="00000000">
      <ns0:pPr>
        <ns0:pStyle ns0:val="1"/>
        <ns0:spacing ns0:line="480" ns0:lineRule="auto"/>
      </ns0:pPr>
      <ns0:r>
        <ns0:t>Abstract</ns0:t>
      </ns0:r>
    </ns0:p>
    <ns0:p ns2:paraId="7180C414" ns2:textId="77777777" ns0:rsidR="00F803C3" ns0:rsidRDefault="1937EF80">
      <ns0:pPr>
        <ns0:spacing ns0:after="120" ns0:line="480" ns0:lineRule="auto"/>
        <ns0:jc ns0:val="both"/>
      </ns0:pPr>
      <ns0:r>
        <ns0:rPr>
          <ns0:rFonts ns0:eastAsia="Times New Roman"/>
        </ns0:rPr>
        <ns0:t>Large language models (LLMs) offer a promising path toward cognitively realistic agent-based models (ABMs) for water resources planning, but unconstrained LLM agents produce physically impossible decisions—a phenomenon we term behavioral hallucination. We present WAGF (Water Agent Governance Framework), an open-source middleware that enforces domain-specific physical and institutional constraints on LLM-driven agents while preserving emergent behavioral diversity. WAGF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20.84% hallucination rate; WAGF-governed agents reduce this to 0.58–2.80% while maintaining higher effective diversity (EBE = 0.78–0.79). We demonstrate domain transferability through a Colorado River irrigation case study (78 districts, 42 years). The framework, metrics, and experiment code are available at [GitHub URL].</ns0:t>
      </ns0:r>
      <ns0:r>
        <ns0:rPr>
          <ns0:rFonts ns0:eastAsia="Times New Roman"/>
        </ns0:rPr>
      </ns0:r>
      <ns0:del ns0:id="12" ns0:author="Claude" ns0:date="2026-02-01T14:59:00Z" ns3:dateUtc="2026-02-01T14:59:18Z">
        <ns0:r ns0:rsidR="00000000" ns0:rsidDel="1937EF80">
          <ns0:rPr>
            <ns0:rFonts ns0:eastAsia="Times New Roman"/>
          </ns0:rPr>
          <ns0:delText>a 8.3%</ns0:delText>
        </ns0:r>
      </ns0:del>
      <ns0:ins ns0:id="13" ns0:author="Claude" ns0:date="2026-02-01T14:59:00Z" ns3:dateUtc="2026-02-01T14:59:18Z">
        <ns0:r>
          <ns0:rPr>
            <ns0:rFonts ns0:eastAsia="Times New Roman"/>
          </ns0:rPr>
          <ns0:t>a 28.1%</ns0:t>
        </ns0:r>
      </ns0:ins>
      <ns0:r>
        <ns0:rPr>
          <ns0:rFonts ns0:eastAsia="Times New Roman"/>
        </ns0:rPr>
      </ns0:r>
      <ns0:del ns0:id="14" ns0:author="Claude" ns0:date="2026-02-01T14:59:00Z" ns3:dateUtc="2026-02-01T14:59:18Z">
        <ns0:r ns0:rsidR="00000000" ns0:rsidDel="1937EF80">
          <ns0:rPr>
            <ns0:rFonts ns0:eastAsia="Times New Roman"/>
          </ns0:rPr>
          <ns0:delText>1.7%</ns0:delText>
        </ns0:r>
      </ns0:del>
      <ns0:ins ns0:id="15" ns0:author="Claude" ns0:date="2026-02-01T14:59:00Z" ns3:dateUtc="2026-02-01T14:59:18Z">
        <ns0:del ns0:id="16" ns0:author="Claude" ns0:date="2026-02-05T00:00:00Z">
          <ns0:r>
            <ns0:rPr>
              <ns0:rFonts ns0:eastAsia="Times New Roman"/>
            </ns0:rPr>
            <ns0:delText>1.0%</ns0:delText>
          </ns0:r>
        </ns0:del>
      </ns0:ins>
      <ns0:ins ns0:id="17" ns0:author="Claude" ns0:date="2026-02-05T00:00:00Z">
        <ns0:r ns0:rsidR="00000000">
          <ns0:t>1.0%</ns0:t>
        </ns0:r>
      </ns0:ins>
      <ns0:r>
        <ns0:rPr>
          <ns0:rFonts ns0:eastAsia="Times New Roman"/>
        </ns0:rPr>
      </ns0:r>
      <ns0:del ns0:id="18" ns0:author="Claude" ns0:date="2026-02-01T14:59:00Z" ns3:dateUtc="2026-02-01T14:59:18Z">
        <ns0:r ns0:rsidR="00000000" ns0:rsidDel="1937EF80">
          <ns0:rPr>
            <ns0:rFonts ns0:eastAsia="Times New Roman"/>
          </ns0:rPr>
          <ns0:delText>EBE 23% higher</ns0:delText>
        </ns0:r>
      </ns0:del>
      <ns0:ins ns0:id="19" ns0:author="Claude" ns0:date="2026-02-01T14:59:00Z" ns3:dateUtc="2026-02-01T14:59:18Z">
        <ns0:r>
          <ns0:rPr>
            <ns0:rFonts ns0:eastAsia="Times New Roman"/>
          </ns0:rPr>
          <ns0:t>EBE 27% higher</ns0:t>
        </ns0:r>
      </ns0:ins>
      <ns0:r>
        <ns0:rPr>
          <ns0:rFonts ns0:eastAsia="Times New Roman"/>
        </ns0:rPr>
      </ns0:r>
    </ns0:p>
    <ns0:p ns2:paraId="73EF289A" ns2:textId="77777777" ns0:rsidR="00F803C3" ns0:rsidRDefault="00000000">
      <ns0:pPr>
        <ns0:pStyle ns0:val="1"/>
        <ns0:spacing ns0:line="480" ns0:lineRule="auto"/>
      </ns0:pPr>
      <ns0:r>
        <ns0:t>Plain Language Summary</ns0:t>
      </ns0:r>
    </ns0:p>
    <ns0:p ns2:paraId="38F5872B" ns2:textId="77777777" ns0:rsidR="00F803C3" ns0:rsidRDefault="00000000">
      <ns0:pPr>
        <ns0:spacing ns0:after="120" ns0:line="480" ns0:lineRule="auto"/>
        <ns0:jc ns0:val="both"/>
      </ns0:pPr>
      <ns0:r>
        <ns0:rPr>
          <ns0:rFonts ns0:eastAsia="Times New Roman"/>
        </ns0:rPr>
        <ns0:t>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WAGF,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ns0:t>
      </ns0:r>
    </ns0:p>
    <ns0:p ns2:paraId="3E4F53C3" ns2:textId="77777777" ns0:rsidR="00F803C3" ns0:rsidRDefault="00000000">
      <ns0:r>
        <ns0:br ns0:type="page"/>
      </ns0:r>
    </ns0:p>
    <ns0:p ns2:paraId="044D4333" ns2:textId="77777777" ns0:rsidR="00F803C3" ns0:rsidRDefault="00000000">
      <ns0:pPr>
        <ns0:pStyle ns0:val="1"/>
        <ns0:spacing ns0:line="480" ns0:lineRule="auto"/>
      </ns0:pPr>
      <ns0:r>
        <ns0:lastRenderedPageBreak/>
        <ns0:t>1. Introduction</ns0:t>
      </ns0:r>
    </ns0:p>
    <ns0:p ns2:paraId="2317A976" ns2:textId="77777777" ns0:rsidR="00F803C3" ns0:rsidRDefault="00000000">
      <ns0:pPr>
        <ns0:spacing ns0:after="120" ns0:line="480" ns0:lineRule="auto"/>
        <ns0:ind ns0:firstLine="360"/>
        <ns0:jc ns0:val="both"/>
      </ns0:pPr>
      <ns0:r>
        <ns0: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ns0:t>
      </ns0:r>
    </ns0:p>
    <ns0:p ns2:paraId="5DCCD49B" ns2:textId="77777777" ns0:rsidR="00F803C3" ns0:rsidRDefault="00000000">
      <ns0:pPr>
        <ns0:spacing ns0:after="120" ns0:line="480" ns0:lineRule="auto"/>
        <ns0:ind ns0:firstLine="360"/>
        <ns0:jc ns0:val="both"/>
      </ns0:pPr>
      <ns0:r>
        <ns0: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ns0:t>
      </ns0:r>
    </ns0:p>
    <ns0:p ns2:paraId="160515C1" ns2:textId="77777777" ns0:rsidR="00F803C3" ns0:rsidRDefault="00000000">
      <ns0:pPr>
        <ns0:spacing ns0:after="120" ns0:line="480" ns0:lineRule="auto"/>
        <ns0:ind ns0:firstLine="360"/>
        <ns0:jc ns0:val="both"/>
      </ns0:pPr>
      <ns0:r>
        <ns0: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ns0:t>
      </ns0:r>
    </ns0:p>
    <ns0:p ns2:paraId="5C203F9D" ns2:textId="77777777" ns0:rsidR="00F803C3" ns0:rsidRDefault="00000000">
      <ns0:pPr>
        <ns0:pStyle ns0:val="1"/>
        <ns0:spacing ns0:line="480" ns0:lineRule="auto"/>
      </ns0:pPr>
      <ns0:r>
        <ns0:t>2. WAGF Architecture</ns0:t>
      </ns0:r>
    </ns0:p>
    <ns0:p ns2:paraId="5C355435" ns2:textId="77777777" ns0:rsidR="00F803C3" ns0:rsidRDefault="00000000">
      <ns0:pPr>
        <ns0:pStyle ns0:val="2"/>
        <ns0:spacing ns0:line="480" ns0:lineRule="auto"/>
      </ns0:pPr>
      <ns0:r>
        <ns0:t>2.1 System Boundary and Broker Pipeline</ns0:t>
      </ns0:r>
    </ns0:p>
    <ns0:p ns2:paraId="04EC5DDC" ns2:textId="77777777" ns0:rsidR="00F803C3" ns0:rsidRDefault="00000000">
      <ns0:pPr>
        <ns0:spacing ns0:after="120" ns0:line="480" ns0:lineRule="auto"/>
        <ns0:ind ns0:firstLine="360"/>
        <ns0:jc ns0:val="both"/>
      </ns0:pPr>
      <ns0:r>
        <ns0:t>WAGF is implemented as a governance middleware between LLM reasoning and simulation state transition. The LLM layer proposes candidate actions, WAGF evaluates whether those proposals satisfy explicit behavioral and feasibility constraints, and the execution layer applies only approved actions to the environment (Figure 1). This separation fixes responsibility boundaries: WAGF does not generate domain decisions on behalf of agents and does not mutate environment state directly.</ns0:t>
      </ns0:r>
    </ns0:p>
    <ns0:p ns2:paraId="7AD963E9" ns2:textId="77777777" ns0:rsidR="00F803C3" ns0:rsidRDefault="00000000">
      <ns0:pPr>
        <ns0:spacing ns0:after="120" ns0:line="480" ns0:lineRule="auto"/>
        <ns0:ind ns0:firstLine="360"/>
        <ns0:jc ns0:val="both"/>
      </ns0:pPr>
      <ns0:r>
        <ns0:t>Each decision is processed through a broker pipeline aligned with the architecture components. First, the Context Builder assembles agent state, environment signals, and retrieved memory cues. Second, the Model Adapter and Parser converts LLM output into a normalized skill proposal using layered parsing fallbacks (strict JSON, enclosure delimiters, regex extraction, and numeric fallback). Third, the Skill Registry resolves the proposed skill and checks declared preconditions and postconditions. Fourth, the Validator applies prioritized governance rules and either approves, warns, or blocks the proposal. When blocked, WAGF returns rule-level feedback to the LLM and requests a revised proposal within a bounded retry budget.</ns0:t>
      </ns0:r>
    </ns0:p>
    <ns0:p ns2:paraId="00DADB2F" ns2:textId="77777777" ns0:rsidR="00F803C3" ns0:rsidRDefault="00000000">
      <ns0:pPr>
        <ns0:spacing ns0:after="120" ns0:line="480" ns0:lineRule="auto"/>
        <ns0:ind ns0:firstLine="360"/>
        <ns0:jc ns0:val="both"/>
      </ns0:pPr>
      <ns0:r>
        <ns0:t>Only validated skills are handed to Action Execution in the simulation layer. In parallel, the Auditor records proposal content, validation outcomes, and final execution status as structured traces for reproducibility and post-hoc diagnosis. Observation outcomes are then fed back to memory retrieval and reflection modules for subsequent turns, closing the agent-environment loop without bypassing governance checks.</ns0:t>
      </ns0:r>
    </ns0:p>
    <ns0:p ns2:paraId="67173F29" ns2:textId="77777777" ns0:rsidR="00F803C3" ns0:rsidRDefault="00000000">
      <ns0:pPr>
        <ns0:spacing ns0:after="120" ns0:line="480" ns0:lineRule="auto"/>
        <ns0:ind ns0:firstLine="360"/>
        <ns0:jc ns0:val="both"/>
      </ns0:pPr>
      <ns0:r>
        <ns0:t>This operational sequence defines how LLM proposals are translated into executable actions under explicit governance constraints and full traceability.</ns0:t>
      </ns0:r>
    </ns0:p>
    <ns0:p ns2:paraId="01DF04BB" ns2:textId="77777777" ns0:rsidR="00F803C3" ns0:rsidRDefault="00000000">
      <ns0:pPr>
        <ns0:pStyle ns0:val="2"/>
        <ns0:spacing ns0:line="480" ns0:lineRule="auto"/>
      </ns0:pPr>
      <ns0:r>
        <ns0:t>2.2 Cross-Cutting Governance Components</ns0:t>
      </ns0:r>
    </ns0:p>
    <ns0:p ns2:paraId="63C52A09" ns2:textId="77777777" ns0:rsidR="00F803C3" ns0:rsidRDefault="00000000">
      <ns0:pPr>
        <ns0:spacing ns0:after="120" ns0:line="480" ns0:lineRule="auto"/>
        <ns0:ind ns0:firstLine="360"/>
        <ns0:jc ns0:val="both"/>
      </ns0:pPr>
      <ns0:r>
        <ns0:t>WAGF implements three cross-cutting governance components across this pipeline. Governance rules are organized by priority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which preserves safety-critical state information under token constraints. Together, these components improve behavioral plausibility while maintaining bounded heterogeneity rather than forcing deterministic uniformity.</ns0:t>
      </ns0:r>
    </ns0:p>
    <ns0:p ns2:paraId="1DEA8CA4" ns2:textId="77777777" ns0:rsidR="00F803C3" ns0:rsidRDefault="00000000">
      <ns0:pPr>
        <ns0:pStyle ns0:val="2"/>
        <ns0:spacing ns0:line="480" ns0:lineRule="auto"/>
      </ns0:pPr>
      <ns0:r>
        <ns0:t>2.3 Domain Instantiation</ns0:t>
      </ns0:r>
    </ns0:p>
    <ns0:p ns2:paraId="4A22333D" ns2:textId="77777777" ns0:rsidR="00F803C3" ns0:rsidRDefault="00000000">
      <ns0:pPr>
        <ns0:spacing ns0:after="120" ns0:line="480" ns0:lineRule="auto"/>
        <ns0:ind ns0:firstLine="360"/>
        <ns0:jc ns0:val="both"/>
      </ns0:pPr>
      <ns0:r>
        <ns0:t>WAGF is domain-agnostic at the engine level and domain-specific at the configuration level. The same broker runtime is reused across household flood adaptation and Colorado River irrigation management; adaptation to each domain is expressed through YAML skill definitions, validator rules, and prompt templates rather than core-code branching. In the flood case, skill options include elevation, insurance purchase, and relocation under a Protection Motivation Theory appraisal scaffold. In the irrigation case, skill options include demand adjustment, efficiency adoption, and acreage reduction under a dual-appraisal (Water Scarcity Assessment and Adaptive Capacity Assessment) decision scaffold. This configuration-first pattern supports transfer to additional water-system settings while preserving a common governance contract.</ns0:t>
      </ns0:r>
    </ns0:p>
    <ns0:p ns2:paraId="1D1485D3" ns2:textId="77777777" ns0:rsidR="00F803C3" ns0:rsidRDefault="00000000">
      <ns0:pPr>
        <ns0:spacing ns0:before="240" ns0:after="60" ns0:line="480" ns0:lineRule="auto"/>
        <ns0:jc ns0:val="center"/>
      </ns0:pPr>
      <ns0:r>
        <ns0:rPr>
          <ns0:rFonts ns0:eastAsia="Times New Roman"/>
          <ns0:b/>
          <ns0:bCs/>
        </ns0:rPr>
        <ns0:t>Table 1. Cross-model governance effectiveness and detailed Gemma3-4B metrics in flood adaptation (100 agents, 10 years). Ungov. = Group A (raw LLM), WAGF = Group C (WAGF + human-centric memory). R_H = hallucination rate, EBE = Effective Behavioral Entropy. All models show &gt;86% hallucination reduction with governance.</ns0:t>
      </ns0:r>
      <ns0:r>
        <ns0:rPr>
          <ns0:rFonts ns0:eastAsia="Times New Roman"/>
        </ns0:rPr>
      </ns0:r>
    </ns0:p>
    <ns0:tbl>
      <ns0:tblPr>
        <ns0:tblW ns0:w="100" ns0:type="auto"/>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CellMar>
          <ns0:left ns0:w="10" ns0:type="dxa"/>
          <ns0:right ns0:w="10" ns0:type="dxa"/>
        </ns0:tblCellMar>
        <ns0:tblLook ns0:val="04A0" ns0:firstRow="1" ns0:lastRow="0" ns0:firstColumn="1" ns0:lastColumn="0" ns0:noHBand="0" ns0:noVBand="1"/>
      </ns0:tblPr>
      <ns0:tblGrid>
        <ns0:gridCol ns0:w="1736"/>
        <ns0:gridCol ns0:w="1725"/>
        <ns0:gridCol ns0:w="1724"/>
        <ns0:gridCol ns0:w="1928"/>
        <ns0:gridCol ns0:w="1903"/>
      </ns0:tblGrid>
      <ns0:tr ns0:rsidR="00F803C3" ns2:paraId="11C846F3" ns2:textId="77777777">
        <ns0:tblPrEx>
          <ns0:tblCellMar>
            <ns0:top ns0:w="0" ns0:type="dxa"/>
            <ns0:bottom ns0:w="0" ns0:type="dxa"/>
          </ns0:tblCellMar>
        </ns0:tblPrEx>
        <ns0:trPr>
          <ns0:tblHeader/>
        </ns0:trPr>
        <ns0:tc>
          <ns0:tcPr>
            <ns0:tcW ns0:w="1800" ns0:type="dxa"/>
            <ns0:shd ns0:val="clear" ns0:color="auto" ns0:fill="D9E2F3"/>
            <ns0:vAlign ns0:val="center"/>
          </ns0:tcPr>
          <ns0:p ns2:paraId="375EC140" ns2:textId="77777777" ns0:rsidR="00F803C3" ns0:rsidRDefault="00000000">
            <ns0:pPr>
              <ns0:jc ns0:val="center"/>
            </ns0:pPr>
            <ns0:r>
              <ns0:rPr>
                <ns0:b/>
                <ns0:sz ns0:val="18"/>
              </ns0:rPr>
              <ns0:t>Model</ns0:t>
            </ns0:r>
          </ns0:p>
        </ns0:tc>
        <ns0:tc>
          <ns0:tcPr>
            <ns0:tcW ns0:w="1800" ns0:type="dxa"/>
            <ns0:shd ns0:val="clear" ns0:color="auto" ns0:fill="D9E2F3"/>
            <ns0:vAlign ns0:val="center"/>
          </ns0:tcPr>
          <ns0:p ns2:paraId="492886AC" ns2:textId="77777777" ns0:rsidR="00F803C3" ns0:rsidRDefault="00000000">
            <ns0:pPr>
              <ns0:jc ns0:val="center"/>
            </ns0:pPr>
            <ns0:r>
              <ns0:rPr>
                <ns0:b/>
                <ns0:sz ns0:val="18"/>
              </ns0:rPr>
              <ns0:t>Ungov. R</ns0:t>
            </ns0:r>
            <ns0:r>
              <ns0:rPr>
                <ns0:b/>
                <ns0:sz ns0:val="18"/>
                <ns0:vertAlign ns0:val="subscript"/>
              </ns0:rPr>
              <ns0:t>H</ns0:t>
            </ns0:r>
            <ns0:r>
              <ns0:rPr>
                <ns0:b/>
                <ns0:sz ns0:val="18"/>
              </ns0:rPr>
              <ns0:t>(%)</ns0:t>
            </ns0:r>
          </ns0:p>
        </ns0:tc>
        <ns0:tc>
          <ns0:tcPr>
            <ns0:tcW ns0:w="1800" ns0:type="dxa"/>
            <ns0:shd ns0:val="clear" ns0:color="auto" ns0:fill="D9E2F3"/>
            <ns0:vAlign ns0:val="center"/>
          </ns0:tcPr>
          <ns0:p ns2:paraId="32C346D5" ns2:textId="77777777" ns0:rsidR="00F803C3" ns0:rsidRDefault="00000000">
            <ns0:pPr>
              <ns0:jc ns0:val="center"/>
            </ns0:pPr>
            <ns0:r>
              <ns0:rPr>
                <ns0:b/>
                <ns0:sz ns0:val="18"/>
              </ns0:rPr>
              <ns0:t>WAGF R</ns0:t>
            </ns0:r>
            <ns0:r>
              <ns0:rPr>
                <ns0:b/>
                <ns0:sz ns0:val="18"/>
                <ns0:vertAlign ns0:val="subscript"/>
              </ns0:rPr>
              <ns0:t>H</ns0:t>
            </ns0:r>
            <ns0:r>
              <ns0:rPr>
                <ns0:b/>
                <ns0:sz ns0:val="18"/>
              </ns0:rPr>
              <ns0:t>(%)</ns0:t>
            </ns0:r>
          </ns0:p>
        </ns0:tc>
        <ns0:tc>
          <ns0:tcPr>
            <ns0:tcW ns0:w="2000" ns0:type="dxa"/>
            <ns0:shd ns0:val="clear" ns0:color="auto" ns0:fill="D9E2F3"/>
            <ns0:vAlign ns0:val="center"/>
          </ns0:tcPr>
          <ns0:p ns2:paraId="088124C3" ns2:textId="77777777" ns0:rsidR="00F803C3" ns0:rsidRDefault="00000000">
            <ns0:pPr>
              <ns0:jc ns0:val="center"/>
            </ns0:pPr>
            <ns0:r>
              <ns0:rPr>
                <ns0:b/>
                <ns0:sz ns0:val="18"/>
              </ns0:rPr>
              <ns0:t>Reduction (%)</ns0:t>
            </ns0:r>
          </ns0:p>
        </ns0:tc>
        <ns0:tc>
          <ns0:tcPr>
            <ns0:tcW ns0:w="2000" ns0:type="dxa"/>
            <ns0:shd ns0:val="clear" ns0:color="auto" ns0:fill="D9E2F3"/>
            <ns0:vAlign ns0:val="center"/>
          </ns0:tcPr>
          <ns0:p ns2:paraId="5D6BF5F9" ns2:textId="77777777" ns0:rsidR="00F803C3" ns0:rsidRDefault="00000000">
            <ns0:pPr>
              <ns0:jc ns0:val="center"/>
            </ns0:pPr>
            <ns0:r>
              <ns0:rPr>
                <ns0:b/>
                <ns0:sz ns0:val="18"/>
              </ns0:rPr>
              <ns0:t>EBE Gain (%)</ns0:t>
            </ns0:r>
          </ns0:p>
        </ns0:tc>
      </ns0:tr>
      <ns0:tr ns0:rsidR="00F803C3" ns2:paraId="02F1FBBE" ns2:textId="77777777">
        <ns0:tblPrEx>
          <ns0:tblCellMar>
            <ns0:top ns0:w="0" ns0:type="dxa"/>
            <ns0:bottom ns0:w="0" ns0:type="dxa"/>
          </ns0:tblCellMar>
        </ns0:tblPrEx>
        <ns0:tc>
          <ns0:tcPr>
            <ns0:tcW ns0:w="1800" ns0:type="dxa"/>
            <ns0:vAlign ns0:val="center"/>
          </ns0:tcPr>
          <ns0:p>
            <ns0:r>
              <ns0:t>Gemma3-4B</ns0:t>
            </ns0:r>
          </ns0:p>
        </ns0:tc>
        <ns0:tc>
          <ns0:tcPr>
            <ns0:tcW ns0:w="1800" ns0:type="dxa"/>
            <ns0:vAlign ns0:val="center"/>
          </ns0:tcPr>
          <ns0:p>
            <ns0:r>
              <ns0:t>20.84</ns0:t>
            </ns0:r>
          </ns0:p>
        </ns0:tc>
        <ns0:tc>
          <ns0:tcPr>
            <ns0:tcW ns0:w="1800" ns0:type="dxa"/>
            <ns0:vAlign ns0:val="center"/>
          </ns0:tcPr>
          <ns0:p>
            <ns0:r>
              <ns0:t>2.80</ns0:t>
            </ns0:r>
          </ns0:p>
        </ns0:tc>
        <ns0:tc>
          <ns0:tcPr>
            <ns0:tcW ns0:w="2000" ns0:type="dxa"/>
            <ns0:vAlign ns0:val="center"/>
          </ns0:tcPr>
          <ns0:p>
            <ns0:r>
              <ns0:t>86.6</ns0:t>
            </ns0:r>
          </ns0:p>
        </ns0:tc>
        <ns0:tc>
          <ns0:tcPr>
            <ns0:tcW ns0:w="2000" ns0:type="dxa"/>
            <ns0:vAlign ns0:val="center"/>
          </ns0:tcPr>
          <ns0:p>
            <ns0:r>
              <ns0:t>48.7</ns0:t>
            </ns0:r>
          </ns0:p>
        </ns0:tc>
      </ns0:tr>
      <ns0:tr ns0:rsidR="00F803C3" ns2:paraId="1554B932" ns2:textId="77777777">
        <ns0:tblPrEx>
          <ns0:tblCellMar>
            <ns0:top ns0:w="0" ns0:type="dxa"/>
            <ns0:bottom ns0:w="0" ns0:type="dxa"/>
          </ns0:tblCellMar>
        </ns0:tblPrEx>
        <ns0:tc>
          <ns0:tcPr>
            <ns0:tcW ns0:w="1800" ns0:type="dxa"/>
            <ns0:vAlign ns0:val="center"/>
          </ns0:tcPr>
          <ns0:p>
            <ns0:r>
              <ns0:t>Gemma3-12B</ns0:t>
            </ns0:r>
          </ns0:p>
        </ns0:tc>
        <ns0:tc>
          <ns0:tcPr>
            <ns0:tcW ns0:w="1800" ns0:type="dxa"/>
            <ns0:vAlign ns0:val="center"/>
          </ns0:tcPr>
          <ns0:p>
            <ns0:r>
              <ns0:t>9.71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11.1</ns0:t>
            </ns0:r>
          </ns0:p>
        </ns0:tc>
      </ns0:tr>
      <ns0:tr ns0:rsidR="00F803C3" ns2:paraId="48F9B9DC" ns2:textId="77777777">
        <ns0:tblPrEx>
          <ns0:tblCellMar>
            <ns0:top ns0:w="0" ns0:type="dxa"/>
            <ns0:bottom ns0:w="0" ns0:type="dxa"/>
          </ns0:tblCellMar>
        </ns0:tblPrEx>
        <ns0:tc>
          <ns0:tcPr>
            <ns0:tcW ns0:w="1800" ns0:type="dxa"/>
            <ns0:vAlign ns0:val="center"/>
          </ns0:tcPr>
          <ns0:p>
            <ns0:r>
              <ns0:t>Gemma3-27B</ns0:t>
            </ns0:r>
          </ns0:p>
        </ns0:tc>
        <ns0:tc>
          <ns0:tcPr>
            <ns0:tcW ns0:w="1800" ns0:type="dxa"/>
            <ns0:vAlign ns0:val="center"/>
          </ns0:tcPr>
          <ns0:p>
            <ns0:r>
              <ns0:t>8.70</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7.9</ns0:t>
            </ns0:r>
          </ns0:p>
        </ns0:tc>
      </ns0:tr>
      <ns0:tr ns0:rsidR="00F803C3" ns2:paraId="0D988567" ns2:textId="77777777">
        <ns0:tblPrEx>
          <ns0:tblCellMar>
            <ns0:top ns0:w="0" ns0:type="dxa"/>
            <ns0:bottom ns0:w="0" ns0:type="dxa"/>
          </ns0:tblCellMar>
        </ns0:tblPrEx>
        <ns0:tc>
          <ns0:tcPr>
            <ns0:tcW ns0:w="1800" ns0:type="dxa"/>
            <ns0:vAlign ns0:val="center"/>
          </ns0:tcPr>
          <ns0:p>
            <ns0:r>
              <ns0:t>Ministral-3B</ns0:t>
            </ns0:r>
          </ns0:p>
        </ns0:tc>
        <ns0:tc>
          <ns0:tcPr>
            <ns0:tcW ns0:w="1800" ns0:type="dxa"/>
            <ns0:vAlign ns0:val="center"/>
          </ns0:tcPr>
          <ns0:p>
            <ns0:r>
              <ns0:t>13.82</ns0:t>
            </ns0:r>
          </ns0:p>
        </ns0:tc>
        <ns0:tc>
          <ns0:tcPr>
            <ns0:tcW ns0:w="1800" ns0:type="dxa"/>
            <ns0:vAlign ns0:val="center"/>
          </ns0:tcPr>
          <ns0:p>
            <ns0:r>
              <ns0:t>0.13</ns0:t>
            </ns0:r>
          </ns0:p>
        </ns0:tc>
        <ns0:tc>
          <ns0:tcPr>
            <ns0:tcW ns0:w="2000" ns0:type="dxa"/>
            <ns0:vAlign ns0:val="center"/>
          </ns0:tcPr>
          <ns0:p>
            <ns0:r>
              <ns0:t>99.1</ns0:t>
            </ns0:r>
          </ns0:p>
        </ns0:tc>
        <ns0:tc>
          <ns0:tcPr>
            <ns0:tcW ns0:w="2000" ns0:type="dxa"/>
            <ns0:vAlign ns0:val="center"/>
          </ns0:tcPr>
          <ns0:p>
            <ns0:r>
              <ns0:t>70.4</ns0:t>
            </ns0:r>
          </ns0:p>
        </ns0:tc>
      </ns0:tr>
      <ns0:tr ns0:rsidR="00F803C3" ns2:paraId="7C70A349" ns2:textId="77777777">
        <ns0:tblPrEx>
          <ns0:tblCellMar>
            <ns0:top ns0:w="0" ns0:type="dxa"/>
            <ns0:bottom ns0:w="0" ns0:type="dxa"/>
          </ns0:tblCellMar>
        </ns0:tblPrEx>
        <ns0:tc>
          <ns0:tcPr>
            <ns0:tcW ns0:w="1800" ns0:type="dxa"/>
            <ns0:vAlign ns0:val="center"/>
          </ns0:tcPr>
          <ns0:p>
            <ns0:r>
              <ns0:t>Ministral-8B</ns0:t>
            </ns0:r>
          </ns0:p>
        </ns0:tc>
        <ns0:tc>
          <ns0:tcPr>
            <ns0:tcW ns0:w="1800" ns0:type="dxa"/>
            <ns0:vAlign ns0:val="center"/>
          </ns0:tcPr>
          <ns0:p>
            <ns0:r>
              <ns0:t>11.99</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-5.0</ns0:t>
            </ns0:r>
          </ns0:p>
        </ns0:tc>
      </ns0:tr>
      <ns0:tr ns0:rsidR="00F803C3" ns2:paraId="41E3F0E3" ns2:textId="77777777">
        <ns0:tblPrEx>
          <ns0:tblCellMar>
            <ns0:top ns0:w="0" ns0:type="dxa"/>
            <ns0:bottom ns0:w="0" ns0:type="dxa"/>
          </ns0:tblCellMar>
        </ns0:tblPrEx>
        <ns0:tc>
          <ns0:tcPr>
            <ns0:tcW ns0:w="1800" ns0:type="dxa"/>
            <ns0:vAlign ns0:val="center"/>
          </ns0:tcPr>
          <ns0:p>
            <ns0:r>
              <ns0:t>Ministral-14B</ns0:t>
            </ns0:r>
          </ns0:p>
        </ns0:tc>
        <ns0:tc>
          <ns0:tcPr>
            <ns0:tcW ns0:w="1800" ns0:type="dxa"/>
            <ns0:vAlign ns0:val="center"/>
          </ns0:tcPr>
          <ns0:p>
            <ns0:r>
              <ns0:t>11.61</ns0:t>
            </ns0:r>
          </ns0:p>
        </ns0:tc>
        <ns0:tc>
          <ns0:tcPr>
            <ns0:tcW ns0:w="1800" ns0:type="dxa"/>
            <ns0:vAlign ns0:val="center"/>
          </ns0:tcPr>
          <ns0:p>
            <ns0:r>
              <ns0:t>0.00</ns0:t>
            </ns0:r>
          </ns0:p>
        </ns0:tc>
        <ns0:tc>
          <ns0:tcPr>
            <ns0:tcW ns0:w="2000" ns0:type="dxa"/>
            <ns0:vAlign ns0:val="center"/>
          </ns0:tcPr>
          <ns0:p>
            <ns0:r>
              <ns0:t>100.0</ns0:t>
            </ns0:r>
          </ns0:p>
        </ns0:tc>
        <ns0:tc>
          <ns0:tcPr>
            <ns0:tcW ns0:w="2000" ns0:type="dxa"/>
            <ns0:vAlign ns0:val="center"/>
          </ns0:tcPr>
          <ns0:p>
            <ns0:r>
              <ns0:t>67.8</ns0:t>
            </ns0:r>
          </ns0:p>
        </ns0:tc>
      </ns0:tr>
    </ns0:tbl>
    <ns0:p ns2:paraId="609D0C5B" ns2:textId="77777777" ns0:rsidR="00F803C3" ns0:rsidRDefault="00F803C3">
      <ns0:pPr>
        <ns0:spacing ns0:after="240"/>
      </ns0:pPr>
    </ns0:p>
    <ns0:p ns2:paraId="03EFDB60" ns2:textId="77777777" ns0:rsidR="00F803C3" ns0:rsidRDefault="00000000">
      <ns0:pPr>
        <ns0:pStyle ns0:val="1"/>
        <ns0:spacing ns0:line="480" ns0:lineRule="auto"/>
      </ns0:pPr>
      <ns0:r>
        <ns0:t>3. Metrics</ns0:t>
      </ns0:r>
    </ns0:p>
    <ns0:p ns2:paraId="23BF9CF6" ns2:textId="77777777" ns0:rsidR="00F803C3" ns0:rsidRDefault="00000000">
      <ns0:pPr>
        <ns0:spacing ns0:after="120" ns0:line="480" ns0:lineRule="auto"/>
        <ns0:jc ns0:val="both"/>
      </ns0:pPr>
      <ns0:r>
        <ns0:rPr>
          <ns0:rFonts ns0:eastAsia="Times New Roman"/>
        </ns0:rPr>
        <ns0:t xml:space="preserve">We define </ns0:t>
      </ns0:r>
      <ns0:r>
        <ns0:rPr>
          <ns0:rFonts ns0:eastAsia="Times New Roman"/>
          <ns0:i/>
          <ns0:iCs/>
        </ns0:rPr>
        <ns0:t>behavioral hallucination</ns0:t>
      </ns0:r>
      <ns0:r>
        <ns0:rPr>
          <ns0:rFonts ns0:eastAsia="Times New Roman"/>
        </ns0:rPr>
        <ns0:t xml:space="preserve"> as an action a</ns0:t>
      </ns0:r>
      <ns0:r>
        <ns0:rPr>
          <ns0:rFonts ns0:eastAsia="Times New Roman"/>
          <ns0:vertAlign ns0:val="subscript"/>
        </ns0:rPr>
        <ns0:t>t</ns0:t>
      </ns0:r>
      <ns0:r>
        <ns0:rPr>
          <ns0:rFonts ns0:eastAsia="Times New Roman"/>
        </ns0:rPr>
        <ns0:t xml:space="preserve"> proposed by an LLM agent that violates physical or institutional constraints given the agent’s state s</ns0:t>
      </ns0:r>
      <ns0:r>
        <ns0:rPr>
          <ns0:rFonts ns0:eastAsia="Times New Roman"/>
          <ns0:vertAlign ns0:val="subscript"/>
        </ns0:rPr>
        <ns0:t>t−1</ns0:t>
      </ns0:r>
      <ns0:r>
        <ns0:rPr>
          <ns0:rFonts ns0:eastAsia="Times New Roman"/>
        </ns0:rPr>
        <ns0:t xml:space="preserve"> at the previous timestep. Formally, let Α(s</ns0:t>
      </ns0:r>
      <ns0:r>
        <ns0:rPr>
          <ns0:rFonts ns0:eastAsia="Times New Roman"/>
          <ns0:vertAlign ns0:val="subscript"/>
        </ns0:rPr>
        <ns0:t>t−1</ns0:t>
      </ns0:r>
      <ns0:r>
        <ns0:rPr>
          <ns0:rFonts ns0:eastAsia="Times New Roman"/>
        </ns0:rPr>
        <ns0:t>) denote the set of feasible actions given state s</ns0:t>
      </ns0:r>
      <ns0:r>
        <ns0:rPr>
          <ns0:rFonts ns0:eastAsia="Times New Roman"/>
          <ns0:vertAlign ns0:val="subscript"/>
        </ns0:rPr>
        <ns0:t>t−1</ns0:t>
      </ns0:r>
      <ns0:r>
        <ns0:rPr>
          <ns0:rFonts ns0:eastAsia="Times New Roman"/>
        </ns0:rPr>
        <ns0:t>. An action is a behavioral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This differs from textual hallucination (Ji et al., 2023) in that the output may be linguistically coherent but physically impossible. The hallucination rate is:</ns0:t>
      </ns0:r>
    </ns0:p>
    <ns0:p ns2:paraId="08F54DDB" ns2:textId="77777777" ns0:rsidR="259F63AB" ns0:rsidRDefault="259F63AB" ns0:rsidP="259F63AB">
      <ns0:pPr>
        <ns0:spacing ns0:after="120" ns0:line="480" ns0:lineRule="auto"/>
        <ns0:ind ns0:firstLine="360"/>
        <ns0:jc ns0:val="both"/>
        <ns0:rPr>
          <ns0:ins ns0:id="20" ns0:author="Claude" ns0:date="2026-02-01T04:26:00Z" ns3:dateUtc="2026-02-01T04:26:18Z"/>
        </ns0:rPr>
      </ns0:pPr>
      <ns0:ins ns0:id="21" ns0:author="Claude" ns0:date="2026-02-01T04:26:00Z" ns3:dateUtc="2026-02-01T04:26:18Z">
        <ns0:r>
          <ns0:rPr>
            <ns0:rFonts ns0:eastAsia="Times New Roman"/>
          </ns0:rPr>
          <ns0:t xml:space="preserve">We extend this taxonomy to include </ns0:t>
        </ns0:r>
        <ns0:r>
          <ns0:rPr>
            <ns0:rFonts ns0:eastAsia="Times New Roman"/>
            <ns0:i/>
            <ns0:iCs/>
          </ns0:rPr>
          <ns0:t>economic hallucinations</ns0:t>
        </ns0:r>
        <ns0:r>
          <ns0:rPr>
            <ns0:rFonts ns0:eastAsia="Times New Roman"/>
          </ns0:rPr>
          <ns0:t>: actions that are physically feasible but operationally absurd given the agent’s quantitative context. For example, an irrigation agent at 0.4% water utilisation choosing to further reduce demand. Formally, let Θ(s</ns0:t>
        </ns0:r>
        <ns0:r>
          <ns0:rPr>
            <ns0:rFonts ns0:eastAsia="Times New Roman"/>
            <ns0:vertAlign ns0:val="subscript"/>
          </ns0:rPr>
          <ns0:t>t</ns0:t>
        </ns0:r>
        <ns0:r>
          <ns0:rPr>
            <ns0:rFonts ns0:eastAsia="Times New Roman"/>
          </ns0:rPr>
          <ns0:t>) denote an economic rationality constraint; an action is an economic hallucination if a</ns0:t>
        </ns0:r>
        <ns0:r>
          <ns0:rPr>
            <ns0:rFonts ns0:eastAsia="Times New Roman"/>
            <ns0:vertAlign ns0:val="subscript"/>
          </ns0:rPr>
          <ns0:t>t</ns0:t>
        </ns0:r>
        <ns0:r>
          <ns0:rPr>
            <ns0:rFonts ns0:eastAsia="Times New Roman"/>
          </ns0:rPr>
          <ns0:t xml:space="preserve"> ∈ Α(s</ns0:t>
        </ns0:r>
        <ns0:r>
          <ns0:rPr>
            <ns0:rFonts ns0:eastAsia="Times New Roman"/>
            <ns0:vertAlign ns0:val="subscript"/>
          </ns0:rPr>
          <ns0:t>t−1</ns0:t>
        </ns0:r>
        <ns0:r>
          <ns0:rPr>
            <ns0:rFonts ns0:eastAsia="Times New Roman"/>
          </ns0:rPr>
          <ns0:t>) but a</ns0:t>
        </ns0:r>
        <ns0:r>
          <ns0:rPr>
            <ns0:rFonts ns0:eastAsia="Times New Roman"/>
            <ns0:vertAlign ns0:val="subscript"/>
          </ns0:rPr>
          <ns0:t>t</ns0:t>
        </ns0:r>
        <ns0:r>
          <ns0:rPr>
            <ns0:rFonts ns0:eastAsia="Times New Roman"/>
          </ns0:rPr>
          <ns0:t xml:space="preserve"> ∉ Θ(s</ns0:t>
        </ns0:r>
        <ns0:r>
          <ns0:rPr>
            <ns0:rFonts ns0:eastAsia="Times New Roman"/>
            <ns0:vertAlign ns0:val="subscript"/>
          </ns0:rPr>
          <ns0:t>t</ns0:t>
        </ns0:r>
        <ns0:r>
          <ns0:rPr>
            <ns0:rFonts ns0:eastAsia="Times New Roman"/>
          </ns0:rPr>
          <ns0:t>)—the action is physically permitted but economically irrational. We operationalize this as utilisation below 10% of water right for two or more consecutive years.</ns0:t>
        </ns0:r>
      </ns0:ins>
    </ns0:p>
    <ns0:p ns2:paraId="45B87EC9" ns2:textId="77777777" ns0:rsidR="00F803C3" ns0:rsidRDefault="00000000">
      <ns0:pPr>
        <ns0:spacing ns0:before="120" ns0:after="120" ns0:line="480" ns0:lineRule="auto"/>
        <ns0:jc ns0:val="center"/>
      </ns0:pPr>
      <ns0:r>
        <ns0:rPr>
          <ns0:rFonts ns0:eastAsia="Times New Roman"/>
        </ns0:rPr>
        <ns0:t>R</ns0:t>
      </ns0:r>
      <ns0:r>
        <ns0:rPr>
          <ns0:rFonts ns0:eastAsia="Times New Roman"/>
          <ns0:vertAlign ns0:val="subscript"/>
        </ns0:rPr>
        <ns0:t>H</ns0:t>
      </ns0:r>
      <ns0:r>
        <ns0:rPr>
          <ns0:rFonts ns0:eastAsia="Times New Roman"/>
        </ns0:rPr>
        <ns0:t xml:space="preserve">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xml:space="preserve">          (1)</ns0:t>
      </ns0:r>
    </ns0:p>
    <ns0:p ns2:paraId="51E4AFA6" ns2:textId="77777777" ns0:rsidR="00F803C3" ns0:rsidRDefault="00000000">
      <ns0:pPr>
        <ns0:spacing ns0:after="120" ns0:line="480" ns0:lineRule="auto"/>
        <ns0:jc ns0:val="both"/>
      </ns0:pPr>
      <ns0:r>
        <ns0:rPr>
          <ns0:rFonts ns0:eastAsia="Times New Roman"/>
        </ns0:rPr>
        <ns0:t>The Effective Behavioral Entropy (EBE) combines normalized Shannon entropy (Shannon, 1948) with the hallucination penalty:</ns0:t>
      </ns0:r>
    </ns0:p>
    <ns0:p ns2:paraId="4D3349D9" ns2:textId="77777777" ns0:rsidR="00F803C3" ns0:rsidRDefault="00000000">
      <ns0:pPr>
        <ns0:spacing ns0:before="120" ns0:after="120" ns0:line="480" ns0:lineRule="auto"/>
        <ns0:jc ns0:val="center"/>
      </ns0:pPr>
      <ns0:r>
        <ns0:rPr>
          <ns0:rFonts ns0:eastAsia="Times New Roman"/>
        </ns0:rPr>
        <ns0:t>EBE = H</ns0:t>
      </ns0:r>
      <ns0:r>
        <ns0:rPr>
          <ns0:rFonts ns0:eastAsia="Times New Roman"/>
          <ns0:vertAlign ns0:val="subscript"/>
        </ns0:rPr>
        <ns0:t>norm</ns0:t>
      </ns0:r>
      <ns0:r>
        <ns0:rPr>
          <ns0:rFonts ns0:eastAsia="Times New Roman"/>
        </ns0:rPr>
        <ns0:t xml:space="preserve"> × (1 − R</ns0:t>
      </ns0:r>
      <ns0:r>
        <ns0:rPr>
          <ns0:rFonts ns0:eastAsia="Times New Roman"/>
          <ns0:vertAlign ns0:val="subscript"/>
        </ns0:rPr>
        <ns0:t>H</ns0:t>
      </ns0:r>
      <ns0:r>
        <ns0:rPr>
          <ns0:rFonts ns0:eastAsia="Times New Roman"/>
        </ns0:rPr>
        <ns0:t>) = [H / log</ns0:t>
      </ns0:r>
      <ns0:r>
        <ns0:rPr>
          <ns0:rFonts ns0:eastAsia="Times New Roman"/>
          <ns0:vertAlign ns0:val="subscript"/>
        </ns0:rPr>
        <ns0:t>2</ns0:t>
      </ns0:r>
      <ns0:r>
        <ns0:rPr>
          <ns0:rFonts ns0:eastAsia="Times New Roman"/>
        </ns0:rPr>
        <ns0:t>(k)] × [1 − n</ns0:t>
      </ns0:r>
      <ns0:r>
        <ns0:rPr>
          <ns0:rFonts ns0:eastAsia="Times New Roman"/>
          <ns0:vertAlign ns0:val="subscript"/>
        </ns0:rPr>
        <ns0:t>hall</ns0:t>
      </ns0:r>
      <ns0:r>
        <ns0:rPr>
          <ns0:rFonts ns0:eastAsia="Times New Roman"/>
        </ns0:rPr>
        <ns0:t xml:space="preserve"> / n</ns0:t>
      </ns0:r>
      <ns0:r>
        <ns0:rPr>
          <ns0:rFonts ns0:eastAsia="Times New Roman"/>
          <ns0:vertAlign ns0:val="subscript"/>
        </ns0:rPr>
        <ns0:t>total</ns0:t>
      </ns0:r>
      <ns0:r>
        <ns0:rPr>
          <ns0:rFonts ns0:eastAsia="Times New Roman"/>
        </ns0:rPr>
        <ns0:t>]          (2)</ns0:t>
      </ns0:r>
    </ns0:p>
    <ns0:p ns2:paraId="43A4DBCE" ns2:textId="77777777" ns0:rsidR="00F803C3" ns0:rsidRDefault="00000000">
      <ns0:pPr>
        <ns0:spacing ns0:after="120" ns0:line="480" ns0:lineRule="auto"/>
        <ns0:jc ns0:val="both"/>
      </ns0:pPr>
      <ns0:r>
        <ns0:rPr>
          <ns0:rFonts ns0:eastAsia="Times New Roman"/>
        </ns0:rPr>
        <ns0:t>where k is the number of available actions and H = −Σ p</ns0:t>
      </ns0:r>
      <ns0:r>
        <ns0:rPr>
          <ns0:rFonts ns0:eastAsia="Times New Roman"/>
          <ns0:vertAlign ns0:val="subscript"/>
        </ns0:rPr>
        <ns0:t>i</ns0:t>
      </ns0:r>
      <ns0:r>
        <ns0:rPr>
          <ns0:rFonts ns0:eastAsia="Times New Roman"/>
        </ns0:rPr>
        <ns0:t xml:space="preserve"> log</ns0:t>
      </ns0:r>
      <ns0:r>
        <ns0:rPr>
          <ns0:rFonts ns0:eastAsia="Times New Roman"/>
          <ns0:vertAlign ns0:val="subscript"/>
        </ns0:rPr>
        <ns0:t>2</ns0:t>
      </ns0:r>
      <ns0:r>
        <ns0:rPr>
          <ns0:rFonts ns0:eastAsia="Times New Roman"/>
        </ns0:rPr>
        <ns0:t xml:space="preserve"> p</ns0:t>
      </ns0:r>
      <ns0:r>
        <ns0:rPr>
          <ns0:rFonts ns0:eastAsia="Times New Roman"/>
          <ns0:vertAlign ns0:val="subscript"/>
        </ns0:rPr>
        <ns0:t>i</ns0:t>
      </ns0:r>
      <ns0:r>
        <ns0:rPr>
          <ns0:rFonts ns0:eastAsia="Times New Roman"/>
        </ns0:rPr>
        <ns0:t xml:space="preserve"> is the Shannon entropy of the </ns0:t>
      </ns0:r>
      <ns0:r>
        <ns0:rPr>
          <ns0:rFonts ns0:eastAsia="Times New Roman"/>
        </ns0:rPr>
        <ns0:lastRenderedPageBreak/>
        <ns0:t>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ns0:t>
      </ns0:r>
    </ns0:p>
    <ns0:p ns2:paraId="26913CBD" ns2:textId="77777777" ns0:rsidR="00F803C3" ns0:rsidRDefault="00000000">
      <ns0:r>
        <ns0:br ns0:type="page"/>
      </ns0:r>
    </ns0:p>
    <ns0:p ns2:paraId="2CD3DC67" ns2:textId="77777777" ns0:rsidR="00F803C3" ns0:rsidRDefault="00000000">
      <ns0:pPr>
        <ns0:pStyle ns0:val="1"/>
        <ns0:spacing ns0:line="480" ns0:lineRule="auto"/>
      </ns0:pPr>
      <ns0:r>
        <ns0:lastRenderedPageBreak/>
        <ns0:t>4. Case Study 1: Flood Adaptation</ns0:t>
      </ns0:r>
    </ns0:p>
    <ns0:p ns2:paraId="56BB28AB" ns2:textId="77777777" ns0:rsidR="00F803C3" ns0:rsidRDefault="00000000">
      <ns0:pPr>
        <ns0:pStyle ns0:val="2"/>
        <ns0:spacing ns0:line="480" ns0:lineRule="auto"/>
      </ns0:pPr>
      <ns0:r>
        <ns0:t>4.1 Experimental Design</ns0:t>
      </ns0:r>
    </ns0:p>
    <ns0:p ns2:paraId="65140C60" ns2:textId="77777777" ns0:rsidR="00F803C3" ns0:rsidRDefault="00000000">
      <ns0:pPr>
        <ns0:spacing ns0:after="120" ns0:line="480" ns0:lineRule="auto"/>
        <ns0:ind ns0:firstLine="360"/>
        <ns0:jc ns0:val="both"/>
      </ns0:pPr>
      <ns0:r>
        <ns0:rPr>
          <ns0:rFonts ns0:eastAsia="Times New Roman"/>
        </ns0:rPr>
        <ns0: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ns0:t>
      </ns0:r>
    </ns0:p>
    <ns0:p ns2:paraId="4D2B9A10" ns2:textId="77777777" ns0:rsidR="00F803C3" ns0:rsidRDefault="00000000">
      <ns0:pPr>
        <ns0:spacing ns0:after="120" ns0:line="480" ns0:lineRule="auto"/>
        <ns0:ind ns0:firstLine="360"/>
        <ns0:jc ns0:val="both"/>
      </ns0:pPr>
      <ns0:r>
        <ns0:rPr>
          <ns0:rFonts ns0:eastAsia="Times New Roman"/>
        </ns0:rPr>
        <ns0:t>We compare three governance configurations using Gemma 3 4B (Gemma Team, 2024) as the primary LLM: Group A (ungoverned—raw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ns0:t>
      </ns0:r>
    </ns0:p>
    <ns0:p ns2:paraId="1CC233D4" ns2:textId="77777777" ns0:rsidR="00F803C3" ns0:rsidRDefault="00000000">
      <ns0:pPr>
        <ns0:pStyle ns0:val="2"/>
        <ns0:spacing ns0:line="480" ns0:lineRule="auto"/>
      </ns0:pPr>
      <ns0:r>
        <ns0:t>4.2 Hallucination Detection and Correction</ns0:t>
      </ns0:r>
    </ns0:p>
    <ns0:p ns2:paraId="614B0196" ns2:textId="77777777" ns0:rsidR="00F803C3" ns0:rsidRDefault="00000000">
      <ns0:pPr>
        <ns0:spacing ns0:after="120" ns0:line="480" ns0:lineRule="auto"/>
        <ns0:ind ns0:firstLine="360"/>
        <ns0:jc ns0:val="both"/>
      </ns0:pPr>
      <ns0:r>
        <ns0:rPr>
          <ns0:rFonts ns0:eastAsia="Times New Roman"/>
        </ns0:rPr>
        <ns0:t>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ns0:t>
      </ns0:r>
    </ns0:p>
    <ns0:p ns2:paraId="1588D2D4" ns2:textId="77777777" ns0:rsidR="00F803C3" ns0:rsidRDefault="1937EF80">
      <ns0:pPr>
        <ns0:spacing ns0:after="120" ns0:line="480" ns0:lineRule="auto"/>
        <ns0:ind ns0:firstLine="360"/>
        <ns0:jc ns0:val="both"/>
      </ns0:pPr>
      <ns0:r>
        <ns0:rPr>
          <ns0:rFonts ns0:eastAsia="Times New Roman"/>
        </ns0:rPr>
        <ns0:t>Group A exhibits a mean hallucination rate of 20.84% across years 2–10, driven by redundant actions (e.g., purchasing insurance already held). Group B reduces hallucination to 0.58% through governance intervention, while Group C achieves 2.80% by combining governance with human-centric memory that reinforces awareness of prior decisions.</ns0:t>
      </ns0:r>
      <ns0:del ns0:id="22" ns0:author="Claude" ns0:date="2026-02-01T14:58:00Z" ns3:dateUtc="2026-02-01T14:58:02Z">
        <ns0:r ns0:rsidR="00000000" ns0:rsidDel="1937EF80">
          <ns0:rPr>
            <ns0:rFonts ns0:eastAsia="Times New Roman"/>
          </ns0:rPr>
          <ns0:delText>8.3%</ns0:delText>
        </ns0:r>
      </ns0:del>
      <ns0:ins ns0:id="23" ns0:author="Claude" ns0:date="2026-02-01T14:58:00Z" ns3:dateUtc="2026-02-01T14:58:02Z">
        <ns0:del ns0:id="24" ns0:author="Claude" ns0:date="2026-02-05T00:00:00Z">
          <ns0:r>
            <ns0:rPr>
              <ns0:rFonts ns0:eastAsia="Times New Roman"/>
            </ns0:rPr>
            <ns0:delText>28.1%</ns0:delText>
          </ns0:r>
        </ns0:del>
      </ns0:ins>
      <ns0:ins ns0:id="25" ns0:author="Claude" ns0:date="2026-02-05T00:00:00Z">
        <ns0:r ns0:rsidR="00000000">
          <ns0:t>28.1%</ns0:t>
        </ns0:r>
      </ns0:ins>
      <ns0:r>
        <ns0:rPr>
          <ns0:rFonts ns0:eastAsia="Times New Roman"/>
        </ns0:rPr>
      </ns0:r>
      <ns0:del ns0:id="26" ns0:author="Claude" ns0:date="2026-02-01T14:58:00Z" ns3:dateUtc="2026-02-01T14:58:02Z">
        <ns0:r ns0:rsidR="00000000" ns0:rsidDel="1937EF80">
          <ns0:rPr>
            <ns0:rFonts ns0:eastAsia="Times New Roman"/>
          </ns0:rPr>
          <ns0:delText>1–10</ns0:delText>
        </ns0:r>
      </ns0:del>
      <ns0:ins ns0:id="27" ns0:author="Claude" ns0:date="2026-02-01T14:58:00Z" ns3:dateUtc="2026-02-01T14:58:02Z">
        <ns0:r>
          <ns0:rPr>
            <ns0:rFonts ns0:eastAsia="Times New Roman"/>
          </ns0:rPr>
          <ns0:t>2–10</ns0:t>
        </ns0:r>
      </ns0:ins>
      <ns0:r>
        <ns0:rPr>
          <ns0:rFonts ns0:eastAsia="Times New Roman"/>
        </ns0:rPr>
      </ns0:r>
      <ns0:del ns0:id="28" ns0:author="Claude" ns0:date="2026-02-01T14:58:00Z" ns3:dateUtc="2026-02-01T14:58:02Z">
        <ns0:r ns0:rsidR="00000000" ns0:rsidDel="1937EF80">
          <ns0:rPr>
            <ns0:rFonts ns0:eastAsia="Times New Roman"/>
          </ns0:rPr>
          <ns0:delText>5.0%</ns0:delText>
        </ns0:r>
      </ns0:del>
      <ns0:ins ns0:id="29" ns0:author="Claude" ns0:date="2026-02-01T14:58:00Z" ns3:dateUtc="2026-02-01T14:58:02Z">
        <ns0:del ns0:id="30" ns0:author="Claude" ns0:date="2026-02-05T00:00:00Z">
          <ns0:r>
            <ns0:rPr>
              <ns0:rFonts ns0:eastAsia="Times New Roman"/>
            </ns0:rPr>
            <ns0:delText>1.0%</ns0:delText>
          </ns0:r>
        </ns0:del>
      </ns0:ins>
      <ns0:ins ns0:id="31" ns0:author="Claude" ns0:date="2026-02-05T00:00:00Z">
        <ns0:r ns0:rsidR="00000000">
          <ns0:t>1.0%</ns0:t>
        </ns0:r>
      </ns0:ins>
      <ns0:r>
        <ns0:rPr>
          <ns0:rFonts ns0:eastAsia="Times New Roman"/>
        </ns0:rPr>
      </ns0:r>
      <ns0:del ns0:id="32" ns0:author="Claude" ns0:date="2026-02-01T14:58:00Z" ns3:dateUtc="2026-02-01T14:58:02Z">
        <ns0:r ns0:rsidR="00000000" ns0:rsidDel="1937EF80">
          <ns0:rPr>
            <ns0:rFonts ns0:eastAsia="Times New Roman"/>
          </ns0:rPr>
          <ns0:delText>1.7%</ns0:delText>
        </ns0:r>
      </ns0:del>
      <ns0:ins ns0:id="33" ns0:author="Claude" ns0:date="2026-02-01T14:58:00Z" ns3:dateUtc="2026-02-01T14:58:02Z">
        <ns0:del ns0:id="34" ns0:author="Claude" ns0:date="2026-02-05T00:00:00Z">
          <ns0:r>
            <ns0:rPr>
              <ns0:rFonts ns0:eastAsia="Times New Roman"/>
            </ns0:rPr>
            <ns0:delText>1.0%</ns0:delText>
          </ns0:r>
        </ns0:del>
      </ns0:ins>
      <ns0:ins ns0:id="35" ns0:author="Claude" ns0:date="2026-02-05T00:00:00Z">
        <ns0:r ns0:rsidR="00000000">
          <ns0:t>1.0%</ns0:t>
        </ns0:r>
      </ns0:ins>
      <ns0:r>
        <ns0:rPr>
          <ns0:rFonts ns0:eastAsia="Times New Roman"/>
        </ns0:rPr>
      </ns0:r>
    </ns0:p>
    <ns0:p ns2:paraId="3D0CC1BE" ns2:textId="77777777" ns0:rsidR="00F803C3" ns0:rsidRDefault="00000000">
      <ns0:pPr>
        <ns0:pStyle ns0:val="2"/>
        <ns0:spacing ns0:line="480" ns0:lineRule="auto"/>
      </ns0:pPr>
      <ns0:r>
        <ns0:t>4.3 Results</ns0:t>
      </ns0:r>
    </ns0:p>
    <ns0:p ns2:paraId="2D716EBD" ns2:textId="77777777" ns0:rsidR="00F803C3" ns0:rsidRDefault="00000000">
      <ns0:pPr>
        <ns0:spacing ns0:after="120" ns0:line="480" ns0:lineRule="auto"/>
        <ns0:ind ns0:firstLine="360"/>
        <ns0:jc ns0:val="both"/>
      </ns0:pPr>
      <ns0:r>
        <ns0:rPr>
          <ns0:rFonts ns0:eastAsia="Times New Roman"/>
        </ns0:rPr>
        <ns0:t>Figure 2 presents the key results. Ungoverned agents (Group A) show high raw entropy (mean Hnorm = 0.664) that appears to indicate rich behavioral diversity, but EBE reveals this is largely hallucination-inflated: mean EBE = 0.526 (Equation 2). Governed agents maintain higher effective diversity—Group B: EBE = 0.785, Group C: EBE = 0.782—despite lower raw entropy, because their decisions are physically valid.</ns0:t>
      </ns0:r>
      <ns0:r>
        <ns0:rPr>
          <ns0:rFonts ns0:eastAsia="Times New Roman"/>
          <ns0:vertAlign ns0:val="subscript"/>
        </ns0:rPr>
      </ns0:r>
      <ns0:r ns0:rsidR="1937EF80">
        <ns0:rPr>
          <ns0:rFonts ns0:eastAsia="Times New Roman"/>
        </ns0:rPr>
      </ns0:r>
      <ns0:del ns0:id="36" ns0:author="Claude" ns0:date="2026-02-01T14:58:00Z" ns3:dateUtc="2026-02-01T14:58:02Z">
        <ns0:r ns0:rsidDel="1937EF80">
          <ns0:rPr>
            <ns0:rFonts ns0:eastAsia="Times New Roman"/>
          </ns0:rPr>
          <ns0:delText>0.60</ns0:delText>
        </ns0:r>
      </ns0:del>
      <ns0:ins ns0:id="37" ns0:author="Claude" ns0:date="2026-02-01T14:58:00Z" ns3:dateUtc="2026-02-01T14:58:02Z">
        <ns0:del ns0:id="38" ns0:author="Claude" ns0:date="2026-02-05T00:00:00Z">
          <ns0:r ns0:rsidR="1937EF80">
            <ns0:rPr>
              <ns0:rFonts ns0:eastAsia="Times New Roman"/>
            </ns0:rPr>
            <ns0:delText>0.613</ns0:delText>
          </ns0:r>
        </ns0:del>
      </ns0:ins>
      <ns0:ins ns0:id="39" ns0:author="Claude" ns0:date="2026-02-05T00:00:00Z">
        <ns0:r>
          <ns0:t>0.613</ns0:t>
        </ns0:r>
      </ns0:ins>
      <ns0:r ns0:rsidR="1937EF80">
        <ns0:rPr>
          <ns0:rFonts ns0:eastAsia="Times New Roman"/>
        </ns0:rPr>
      </ns0:r>
      <ns0:del ns0:id="40" ns0:author="Claude" ns0:date="2026-02-01T14:58:00Z" ns3:dateUtc="2026-02-01T14:58:02Z">
        <ns0:r ns0:rsidDel="1937EF80">
          <ns0:rPr>
            <ns0:rFonts ns0:eastAsia="Times New Roman"/>
          </ns0:rPr>
          <ns0:delText>0.41</ns0:delText>
        </ns0:r>
      </ns0:del>
      <ns0:ins ns0:id="41" ns0:author="Claude" ns0:date="2026-02-01T14:58:00Z" ns3:dateUtc="2026-02-01T14:58:02Z">
        <ns0:r ns0:rsidR="1937EF80">
          <ns0:rPr>
            <ns0:rFonts ns0:eastAsia="Times New Roman"/>
          </ns0:rPr>
          <ns0:t>0.34</ns0:t>
        </ns0:r>
      </ns0:ins>
      <ns0:r ns0:rsidR="1937EF80">
        <ns0:rPr>
          <ns0:rFonts ns0:eastAsia="Times New Roman"/>
        </ns0:rPr>
      </ns0:r>
      <ns0:del ns0:id="42" ns0:author="Claude" ns0:date="2026-02-01T14:58:00Z" ns3:dateUtc="2026-02-01T14:58:02Z">
        <ns0:r ns0:rsidDel="1937EF80">
          <ns0:rPr>
            <ns0:rFonts ns0:eastAsia="Times New Roman"/>
          </ns0:rPr>
          <ns0:delText>0.52</ns0:delText>
        </ns0:r>
      </ns0:del>
      <ns0:ins ns0:id="43" ns0:author="Claude" ns0:date="2026-02-01T14:58:00Z" ns3:dateUtc="2026-02-01T14:58:02Z">
        <ns0:r ns0:rsidR="1937EF80">
          <ns0:rPr>
            <ns0:rFonts ns0:eastAsia="Times New Roman"/>
          </ns0:rPr>
          <ns0:t>0.45</ns0:t>
        </ns0:r>
      </ns0:ins>
      <ns0:r ns0:rsidR="1937EF80">
        <ns0:rPr>
          <ns0:rFonts ns0:eastAsia="Times New Roman"/>
        </ns0:rPr>
      </ns0:r>
      <ns0:del ns0:id="44" ns0:author="Claude" ns0:date="2026-02-01T14:58:00Z" ns3:dateUtc="2026-02-01T14:58:02Z">
        <ns0:r ns0:rsidDel="1937EF80">
          <ns0:rPr>
            <ns0:rFonts ns0:eastAsia="Times New Roman"/>
          </ns0:rPr>
          <ns0:delText>0.54</ns0:delText>
        </ns0:r>
      </ns0:del>
      <ns0:ins ns0:id="45" ns0:author="Claude" ns0:date="2026-02-01T14:58:00Z" ns3:dateUtc="2026-02-01T14:58:02Z">
        <ns0:r ns0:rsidR="1937EF80">
          <ns0:rPr>
            <ns0:rFonts ns0:eastAsia="Times New Roman"/>
          </ns0:rPr>
          <ns0:t>0.43</ns0:t>
        </ns0:r>
      </ns0:ins>
      <ns0:r ns0:rsidR="1937EF80">
        <ns0:rPr>
          <ns0:rFonts ns0:eastAsia="Times New Roman"/>
        </ns0:rPr>
      </ns0:r>
    </ns0:p>
    <ns0:p ns2:paraId="73B224E5" ns2:textId="77777777" ns0:rsidR="00F803C3" ns0:rsidRDefault="00000000">
      <ns0:pPr>
        <ns0:spacing ns0:after="120" ns0:line="480" ns0:lineRule="auto"/>
        <ns0:ind ns0:firstLine="360"/>
        <ns0:jc ns0:val="both"/>
      </ns0:pPr>
      <ns0:r>
        <ns0:rPr>
          <ns0:rFonts ns0:eastAsia="Times New Roman"/>
        </ns0:rPr>
        <ns0:t>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ns0:t>
      </ns0:r>
    </ns0:p>
    <ns0:p ns2:paraId="143E5609" ns2:textId="77777777" ns0:rsidR="00F803C3" ns0:rsidRDefault="00000000">
      <ns0:pPr>
        <ns0:spacing ns0:before="240" ns0:after="60" ns0:line="480" ns0:lineRule="auto"/>
        <ns0:jc ns0:val="center"/>
      </ns0:pPr>
      <ns0:r>
        <ns0:rPr>
          <ns0:rFonts ns0:eastAsia="Times New Roman"/>
          <ns0:i/>
          <ns0:iCs/>
          <ns0:color ns0:val="CC0000"/>
        </ns0:rPr>
        <ns0:t>[FIGURE 2: Flood Results — (a) Raw vs corrected entropy with EBE, (b) Cumulative relocation curves]</ns0:t>
      </ns0:r>
    </ns0:p>
    <ns0:p ns2:paraId="36776007" ns2:textId="77777777" ns0:rsidR="00F803C3" ns0:rsidRDefault="00000000">
      <ns0:r>
        <ns0:rPr>
          <ns0:b/>
          <ns0:sz ns0:val="20"/>
        </ns0:rPr>
        <ns0:t>Table 1 (continued). Detailed flood adaptation metrics for Gemma3 4B across three governance configurations (100 agents, 10 years). Values are mean over years 2–10.</ns0:t>
      </ns0:r>
      <ns0:r ns0:rsidR="1937EF80">
        <ns0:rPr>
          <ns0:i/>
          <ns0:sz ns0:val="20"/>
        </ns0:rPr>
      </ns0:r>
      <ns0:del ns0:id="46" ns0:author="Claude" ns0:date="2026-02-01T14:58:00Z" ns3:dateUtc="2026-02-01T14:58:02Z">
        <ns0:r ns0:rsidDel="1937EF80">
          <ns0:rPr>
            <ns0:i/>
            <ns0:sz ns0:val="20"/>
          </ns0:rPr>
          <ns0:delText>N = 900 decisions per group</ns0:delText>
        </ns0:r>
      </ns0:del>
      <ns0:ins ns0:id="47" ns0:author="Claude" ns0:date="2026-02-01T14:58:00Z" ns3:dateUtc="2026-02-01T14:58:02Z">
        <ns0:r ns0:rsidR="1937EF80">
          <ns0:rPr>
            <ns0:i/>
            <ns0:sz ns0:val="20"/>
          </ns0:rPr>
          <ns0:t>N = 898, 727, and 743 decisions for Groups A, B, and C respectively</ns0:t>
        </ns0:r>
      </ns0:ins>
      <ns0:r ns0:rsidR="1937EF80">
        <ns0:rPr>
          <ns0:i/>
          <ns0:sz ns0:val="20"/>
        </ns0:rPr>
      </ns0:r>
    </ns0:p>
    <ns0:tbl>
      <ns0:tblPr>
        <ns0:tblW ns0:w="0" ns0:type="auto"/>
        <ns0:jc ns0:val="center"/>
        <ns0:tblCellMar>
          <ns0:left ns0:w="10" ns0:type="dxa"/>
          <ns0:right ns0:w="10" ns0:type="dxa"/>
        </ns0:tblCellMar>
        <ns0:tblLook ns0:val="04A0" ns0:firstRow="1" ns0:lastRow="0" ns0:firstColumn="1" ns0:lastColumn="0" ns0:noHBand="0" ns0:noVBand="1"/>
      </ns0:tblPr>
      <ns0:tblGrid>
        <ns0:gridCol ns0:w="2256"/>
        <ns0:gridCol ns0:w="2256"/>
        <ns0:gridCol ns0:w="2256"/>
        <ns0:gridCol ns0:w="2256"/>
      </ns0:tblGrid>
      <ns0:tr ns0:rsidR="00F803C3" ns2:paraId="02F4B0BA" ns2:textId="77777777">
        <ns0:tblPrEx>
          <ns0:tblCellMar>
            <ns0:top ns0:w="0" ns0:type="dxa"/>
            <ns0:bottom ns0:w="0" ns0:type="dxa"/>
          </ns0:tblCellMar>
        </ns0:tblPrEx>
        <ns0:trPr>
          <ns0:jc ns0:val="center"/>
        </ns0:trPr>
        <ns0:tc>
          <ns0:tcPr>
            <ns0:tcW ns0:w="2256" ns0:type="dxa"/>
          </ns0:tcPr>
          <ns0:p ns2:paraId="1CABAE55" ns2:textId="77777777" ns0:rsidR="00F803C3" ns0:rsidRDefault="00000000">
            <ns0:pPr>
              <ns0:jc ns0:val="center"/>
            </ns0:pPr>
            <ns0:r>
              <ns0:rPr>
                <ns0:b/>
                <ns0:sz ns0:val="18"/>
              </ns0:rPr>
              <ns0:t>Metric</ns0:t>
            </ns0:r>
          </ns0:p>
        </ns0:tc>
        <ns0:tc>
          <ns0:tcPr>
            <ns0:tcW ns0:w="2256" ns0:type="dxa"/>
          </ns0:tcPr>
          <ns0:p ns2:paraId="014BB8CB" ns2:textId="77777777" ns0:rsidR="00F803C3" ns0:rsidRDefault="00000000">
            <ns0:pPr>
              <ns0:jc ns0:val="center"/>
            </ns0:pPr>
            <ns0:r>
              <ns0:rPr>
                <ns0:b/>
                <ns0:sz ns0:val="18"/>
              </ns0:rPr>
              <ns0:t>Group A</ns0:t>
            </ns0:r>
            <ns0:r>
              <ns0:rPr>
                <ns0:b/>
                <ns0:sz ns0:val="18"/>
              </ns0:rPr>
              <ns0:br/>
              <ns0:t>(Ungoverned)</ns0:t>
            </ns0:r>
          </ns0:p>
        </ns0:tc>
        <ns0:tc>
          <ns0:tcPr>
            <ns0:tcW ns0:w="2256" ns0:type="dxa"/>
          </ns0:tcPr>
          <ns0:p ns2:paraId="50FCE2EA" ns2:textId="77777777" ns0:rsidR="00F803C3" ns0:rsidRDefault="00000000">
            <ns0:pPr>
              <ns0:jc ns0:val="center"/>
            </ns0:pPr>
            <ns0:r>
              <ns0:rPr>
                <ns0:b/>
                <ns0:sz ns0:val="18"/>
              </ns0:rPr>
              <ns0:t>Group B</ns0:t>
            </ns0:r>
            <ns0:r>
              <ns0:rPr>
                <ns0:b/>
                <ns0:sz ns0:val="18"/>
              </ns0:rPr>
              <ns0:br/>
              <ns0:t>(WAGF+Window)</ns0:t>
            </ns0:r>
          </ns0:p>
        </ns0:tc>
        <ns0:tc>
          <ns0:tcPr>
            <ns0:tcW ns0:w="2256" ns0:type="dxa"/>
          </ns0:tcPr>
          <ns0:p ns2:paraId="109A1A6E" ns2:textId="77777777" ns0:rsidR="00F803C3" ns0:rsidRDefault="00000000">
            <ns0:pPr>
              <ns0:jc ns0:val="center"/>
            </ns0:pPr>
            <ns0:r>
              <ns0:rPr>
                <ns0:b/>
                <ns0:sz ns0:val="18"/>
              </ns0:rPr>
              <ns0:t>Group C</ns0:t>
            </ns0:r>
            <ns0:r>
              <ns0:rPr>
                <ns0:b/>
                <ns0:sz ns0:val="18"/>
              </ns0:rPr>
              <ns0:br/>
              <ns0:t>(WAGF+Human.)</ns0:t>
            </ns0:r>
          </ns0:p>
        </ns0:tc>
      </ns0:tr>
      <ns0:tr ns0:rsidR="00F803C3" ns2:paraId="52427564" ns2:textId="77777777">
        <ns0:tblPrEx>
          <ns0:tblCellMar>
            <ns0:top ns0:w="0" ns0:type="dxa"/>
            <ns0:bottom ns0:w="0" ns0:type="dxa"/>
          </ns0:tblCellMar>
        </ns0:tblPrEx>
        <ns0:trPr>
          <ns0:jc ns0:val="center"/>
        </ns0:trPr>
        <ns0:tc>
          <ns0:tcPr>
            <ns0:tcW ns0:w="2256" ns0:type="dxa"/>
          </ns0:tcPr>
          <ns0:p ns2:paraId="002C7CFB" ns2:textId="77777777" ns0:rsidR="00F803C3" ns0:rsidRDefault="00000000">
            <ns0:r>
              <ns0:rPr>
                <ns0:sz ns0:val="18"/>
              </ns0:rPr>
              <ns0:t>Hallucination Rate (RH)</ns0:t>
            </ns0:r>
          </ns0:p>
        </ns0:tc>
        <ns0:tc>
          <ns0:tcPr>
            <ns0:tcW ns0:w="2256" ns0:type="dxa"/>
          </ns0:tcPr>
          <ns0:p>
            <ns0:r>
              <ns0:t>20.84%</ns0:t>
            </ns0:r>
          </ns0:p>
        </ns0:tc>
        <ns0:tc>
          <ns0:tcPr>
            <ns0:tcW ns0:w="2256" ns0:type="dxa"/>
          </ns0:tcPr>
          <ns0:p>
            <ns0:r>
              <ns0:t>0.58%</ns0:t>
            </ns0:r>
          </ns0:p>
        </ns0:tc>
        <ns0:tc>
          <ns0:tcPr>
            <ns0:tcW ns0:w="2256" ns0:type="dxa"/>
          </ns0:tcPr>
          <ns0:p>
            <ns0:r>
              <ns0:t>2.80%</ns0:t>
            </ns0:r>
          </ns0:p>
        </ns0:tc>
      </ns0:tr>
      <ns0:tr ns0:rsidR="00F803C3" ns2:paraId="3DBD30BA" ns2:textId="77777777">
        <ns0:tblPrEx>
          <ns0:tblCellMar>
            <ns0:top ns0:w="0" ns0:type="dxa"/>
            <ns0:bottom ns0:w="0" ns0:type="dxa"/>
          </ns0:tblCellMar>
        </ns0:tblPrEx>
        <ns0:trPr>
          <ns0:jc ns0:val="center"/>
        </ns0:trPr>
        <ns0:tc>
          <ns0:tcPr>
            <ns0:tcW ns0:w="2256" ns0:type="dxa"/>
          </ns0:tcPr>
          <ns0:p ns2:paraId="5A9E6F84" ns2:textId="77777777" ns0:rsidR="00F803C3" ns0:rsidRDefault="00000000">
            <ns0:r>
              <ns0:rPr>
                <ns0:sz ns0:val="18"/>
              </ns0:rPr>
              <ns0:t>Total hallucinations</ns0:t>
            </ns0:r>
          </ns0:p>
        </ns0:tc>
        <ns0:tc>
          <ns0:tcPr>
            <ns0:tcW ns0:w="2256" ns0:type="dxa"/>
          </ns0:tcPr>
          <ns0:p>
            <ns0:r>
              <ns0:t>208</ns0:t>
            </ns0:r>
          </ns0:p>
        </ns0:tc>
        <ns0:tc>
          <ns0:tcPr>
            <ns0:tcW ns0:w="2256" ns0:type="dxa"/>
          </ns0:tcPr>
          <ns0:p>
            <ns0:r>
              <ns0:t>5</ns0:t>
            </ns0:r>
          </ns0:p>
        </ns0:tc>
        <ns0:tc>
          <ns0:tcPr>
            <ns0:tcW ns0:w="2256" ns0:type="dxa"/>
          </ns0:tcPr>
          <ns0:p>
            <ns0:r>
              <ns0:t>24</ns0:t>
            </ns0:r>
          </ns0:p>
        </ns0:tc>
      </ns0:tr>
      <ns0:tr ns0:rsidR="00F803C3" ns2:paraId="2956E30D" ns2:textId="77777777">
        <ns0:tblPrEx>
          <ns0:tblCellMar>
            <ns0:top ns0:w="0" ns0:type="dxa"/>
            <ns0:bottom ns0:w="0" ns0:type="dxa"/>
          </ns0:tblCellMar>
        </ns0:tblPrEx>
        <ns0:trPr>
          <ns0:jc ns0:val="center"/>
        </ns0:trPr>
        <ns0:tc>
          <ns0:tcPr>
            <ns0:tcW ns0:w="2256" ns0:type="dxa"/>
          </ns0:tcPr>
          <ns0:p ns2:paraId="1E032C69" ns2:textId="77777777" ns0:rsidR="00F803C3" ns0:rsidRDefault="00000000">
            <ns0:r>
              <ns0:rPr>
                <ns0:sz ns0:val="18"/>
              </ns0:rPr>
              <ns0:t>Raw Hnorm</ns0:t>
            </ns0:r>
          </ns0:p>
        </ns0:tc>
        <ns0:tc>
          <ns0:tcPr>
            <ns0:tcW ns0:w="2256" ns0:type="dxa"/>
          </ns0:tcPr>
          <ns0:p>
            <ns0:r>
              <ns0:t>0.664</ns0:t>
            </ns0:r>
          </ns0:p>
        </ns0:tc>
        <ns0:tc>
          <ns0:tcPr>
            <ns0:tcW ns0:w="2256" ns0:type="dxa"/>
          </ns0:tcPr>
          <ns0:p>
            <ns0:r>
              <ns0:t>0.790</ns0:t>
            </ns0:r>
          </ns0:p>
        </ns0:tc>
        <ns0:tc>
          <ns0:tcPr>
            <ns0:tcW ns0:w="2256" ns0:type="dxa"/>
          </ns0:tcPr>
          <ns0:p>
            <ns0:r>
              <ns0:t>0.804</ns0:t>
            </ns0:r>
          </ns0:p>
        </ns0:tc>
      </ns0:tr>
      <ns0:tr ns0:rsidR="00F803C3" ns2:paraId="02EF981F" ns2:textId="77777777">
        <ns0:tblPrEx>
          <ns0:tblCellMar>
            <ns0:top ns0:w="0" ns0:type="dxa"/>
            <ns0:bottom ns0:w="0" ns0:type="dxa"/>
          </ns0:tblCellMar>
        </ns0:tblPrEx>
        <ns0:trPr>
          <ns0:jc ns0:val="center"/>
        </ns0:trPr>
        <ns0:tc>
          <ns0:tcPr>
            <ns0:tcW ns0:w="2256" ns0:type="dxa"/>
          </ns0:tcPr>
          <ns0:p ns2:paraId="0551455D" ns2:textId="77777777" ns0:rsidR="00F803C3" ns0:rsidRDefault="00000000">
            <ns0:r>
              <ns0:rPr>
                <ns0:sz ns0:val="18"/>
              </ns0:rPr>
              <ns0:t>Corrected Hnorm</ns0:t>
            </ns0:r>
          </ns0:p>
        </ns0:tc>
        <ns0:tc>
          <ns0:tcPr>
            <ns0:tcW ns0:w="2256" ns0:type="dxa"/>
          </ns0:tcPr>
          <ns0:p>
            <ns0:r>
              <ns0:t>—</ns0:t>
            </ns0:r>
          </ns0:p>
        </ns0:tc>
        <ns0:tc>
          <ns0:tcPr>
            <ns0:tcW ns0:w="2256" ns0:type="dxa"/>
          </ns0:tcPr>
          <ns0:p>
            <ns0:r>
              <ns0:t>—</ns0:t>
            </ns0:r>
          </ns0:p>
        </ns0:tc>
        <ns0:tc>
          <ns0:tcPr>
            <ns0:tcW ns0:w="2256" ns0:type="dxa"/>
          </ns0:tcPr>
          <ns0:p>
            <ns0:r>
              <ns0:t>—</ns0:t>
            </ns0:r>
          </ns0:p>
        </ns0:tc>
      </ns0:tr>
      <ns0:tr ns0:rsidR="00F803C3" ns2:paraId="4525F9D5" ns2:textId="77777777">
        <ns0:tblPrEx>
          <ns0:tblCellMar>
            <ns0:top ns0:w="0" ns0:type="dxa"/>
            <ns0:bottom ns0:w="0" ns0:type="dxa"/>
          </ns0:tblCellMar>
        </ns0:tblPrEx>
        <ns0:trPr>
          <ns0:jc ns0:val="center"/>
        </ns0:trPr>
        <ns0:tc>
          <ns0:tcPr>
            <ns0:tcW ns0:w="2256" ns0:type="dxa"/>
          </ns0:tcPr>
          <ns0:p ns2:paraId="3CAB8712" ns2:textId="77777777" ns0:rsidR="00F803C3" ns0:rsidRDefault="00000000">
            <ns0:r>
              <ns0:rPr>
                <ns0:sz ns0:val="18"/>
              </ns0:rPr>
              <ns0:t>EBE</ns0:t>
            </ns0:r>
          </ns0:p>
        </ns0:tc>
        <ns0:tc>
          <ns0:tcPr>
            <ns0:tcW ns0:w="2256" ns0:type="dxa"/>
          </ns0:tcPr>
          <ns0:p>
            <ns0:r>
              <ns0:t>0.526</ns0:t>
            </ns0:r>
          </ns0:p>
        </ns0:tc>
        <ns0:tc>
          <ns0:tcPr>
            <ns0:tcW ns0:w="2256" ns0:type="dxa"/>
          </ns0:tcPr>
          <ns0:p>
            <ns0:r>
              <ns0:t>0.785</ns0:t>
            </ns0:r>
          </ns0:p>
        </ns0:tc>
        <ns0:tc>
          <ns0:tcPr>
            <ns0:tcW ns0:w="2256" ns0:type="dxa"/>
          </ns0:tcPr>
          <ns0:p>
            <ns0:r>
              <ns0:t>0.782</ns0:t>
            </ns0:r>
          </ns0:p>
        </ns0:tc>
      </ns0:tr>
      <ns0:tr ns0:rsidR="00F803C3" ns2:paraId="78BD8F06" ns2:textId="77777777">
        <ns0:tblPrEx>
          <ns0:tblCellMar>
            <ns0:top ns0:w="0" ns0:type="dxa"/>
            <ns0:bottom ns0:w="0" ns0:type="dxa"/>
          </ns0:tblCellMar>
        </ns0:tblPrEx>
        <ns0:trPr>
          <ns0:jc ns0:val="center"/>
        </ns0:trPr>
        <ns0:tc>
          <ns0:tcPr>
            <ns0:tcW ns0:w="2256" ns0:type="dxa"/>
          </ns0:tcPr>
          <ns0:p ns2:paraId="5CEE374B" ns2:textId="77777777" ns0:rsidR="00F803C3" ns0:rsidRDefault="00000000">
            <ns0:r>
              <ns0:rPr>
                <ns0:sz ns0:val="18"/>
              </ns0:rPr>
              <ns0:t>Relocated (Year 10)</ns0:t>
            </ns0:r>
          </ns0:p>
        </ns0:tc>
        <ns0:tc>
          <ns0:tcPr>
            <ns0:tcW ns0:w="2256" ns0:type="dxa"/>
          </ns0:tcPr>
          <ns0:p>
            <ns0:r>
              <ns0:t>0 / 100</ns0:t>
            </ns0:r>
          </ns0:p>
        </ns0:tc>
        <ns0:tc>
          <ns0:tcPr>
            <ns0:tcW ns0:w="2256" ns0:type="dxa"/>
          </ns0:tcPr>
          <ns0:p>
            <ns0:r>
              <ns0:t>32 / 100</ns0:t>
            </ns0:r>
          </ns0:p>
        </ns0:tc>
        <ns0:tc>
          <ns0:tcPr>
            <ns0:tcW ns0:w="2256" ns0:type="dxa"/>
          </ns0:tcPr>
          <ns0:p>
            <ns0:r>
              <ns0:t>37 / 100</ns0:t>
            </ns0:r>
          </ns0:p>
        </ns0:tc>
      </ns0:tr>
      <ns0:tr ns0:rsidR="00F803C3" ns2:paraId="303FEB6D" ns2:textId="77777777">
        <ns0:tblPrEx>
          <ns0:tblCellMar>
            <ns0:top ns0:w="0" ns0:type="dxa"/>
            <ns0:bottom ns0:w="0" ns0:type="dxa"/>
          </ns0:tblCellMar>
        </ns0:tblPrEx>
        <ns0:trPr>
          <ns0:jc ns0:val="center"/>
        </ns0:trPr>
        <ns0:tc>
          <ns0:tcPr>
            <ns0:tcW ns0:w="2256" ns0:type="dxa"/>
          </ns0:tcPr>
          <ns0:p ns2:paraId="1B24C980" ns2:textId="77777777" ns0:rsidR="00F803C3" ns0:rsidRDefault="00000000">
            <ns0:r>
              <ns0:rPr>
                <ns0:sz ns0:val="18"/>
              </ns0:rPr>
              <ns0:t>Active agents (Year 10)</ns0:t>
            </ns0:r>
          </ns0:p>
        </ns0:tc>
        <ns0:tc>
          <ns0:tcPr>
            <ns0:tcW ns0:w="2256" ns0:type="dxa"/>
          </ns0:tcPr>
          <ns0:p ns2:paraId="6D52F1C3" ns2:textId="77777777" ns0:rsidR="00F803C3" ns0:rsidRDefault="00000000">
            <ns0:pPr>
              <ns0:jc ns0:val="center"/>
            </ns0:pPr>
            <ns0:r>
              <ns0:rPr>
                <ns0:sz ns0:val="18"/>
              </ns0:rPr>
              <ns0:t>100</ns0:t>
            </ns0:r>
          </ns0:p>
        </ns0:tc>
        <ns0:tc>
          <ns0:tcPr>
            <ns0:tcW ns0:w="2256" ns0:type="dxa"/>
          </ns0:tcPr>
          <ns0:p ns2:paraId="2211C3DF" ns2:textId="77777777" ns0:rsidR="00F803C3" ns0:rsidRDefault="00000000">
            <ns0:pPr>
              <ns0:jc ns0:val="center"/>
            </ns0:pPr>
            <ns0:r>
              <ns0:rPr>
                <ns0:sz ns0:val="18"/>
              </ns0:rPr>
              <ns0:t>68</ns0:t>
            </ns0:r>
          </ns0:p>
        </ns0:tc>
        <ns0:tc>
          <ns0:tcPr>
            <ns0:tcW ns0:w="2256" ns0:type="dxa"/>
          </ns0:tcPr>
          <ns0:p ns2:paraId="1E940992" ns2:textId="77777777" ns0:rsidR="00F803C3" ns0:rsidRDefault="00000000">
            <ns0:pPr>
              <ns0:jc ns0:val="center"/>
            </ns0:pPr>
            <ns0:r>
              <ns0:rPr>
                <ns0:sz ns0:val="18"/>
              </ns0:rPr>
              <ns0:t>63</ns0:t>
            </ns0:r>
          </ns0:p>
        </ns0:tc>
      </ns0:tr>
    </ns0:tbl>
    <ns0:p ns2:paraId="1F376FB8" ns2:textId="77777777" ns0:rsidR="00F803C3" ns0:rsidRDefault="00000000">
      <ns0:r>
        <ns0:rPr>
          <ns0:i/>
          <ns0:sz ns0:val="16"/>
        </ns0:rPr>
        <ns0:t>Pairwise tests (Mann–Whitney U): RH: A vs B: U=92, p=0.002, d=2.47; A vs C: U=92.5, p=0.001, d=3.29. EBE: A vs B: U=22, p=0.038, d=−0.61; A vs C: U=25, p=0.064, d=−1.10. Omnibus RH: KW=14.75, p&lt;0.001, η²=0.47; Omnibus EBE: KW=5.44, p=0.066.</ns0:t>
      </ns0:r>
    </ns0:p>
    <ns0:p ns2:paraId="2CC5A562" ns2:textId="77777777" ns0:rsidR="00F803C3" ns0:rsidRDefault="00000000">
      <ns0:pPr>
        <ns0:pStyle ns0:val="1"/>
        <ns0:spacing ns0:line="480" ns0:lineRule="auto"/>
      </ns0:pPr>
      <ns0:r>
        <ns0:t>5. Case Study 2: Colorado River Irrigation</ns0:t>
      </ns0:r>
    </ns0:p>
    <ns0:p ns2:paraId="35667BA4" ns2:textId="77777777" ns0:rsidR="00F803C3" ns0:rsidRDefault="00000000">
      <ns0:pPr>
        <ns0:pStyle ns0:val="2"/>
        <ns0:spacing ns0:line="480" ns0:lineRule="auto"/>
      </ns0:pPr>
      <ns0:r>
        <ns0:t>5.1 Setup</ns0:t>
      </ns0:r>
    </ns0:p>
    <ns0:p ns2:paraId="37A210A7" ns2:textId="77777777" ns0:rsidR="CF7DCF98" ns0:rsidRDefault="CF7DCF98" ns0:rsidP="CF7DCF98">
      <ns0:pPr>
        <ns0:spacing ns0:after="120" ns0:line="480" ns0:lineRule="auto"/>
        <ns0:ind ns0:firstLine="360"/>
        <ns0:jc ns0:val="both"/>
      </ns0:pPr>
      <ns0:r>
        <ns0:rPr>
          <ns0:rFonts ns0:eastAsia="Times New Roman"/>
        </ns0:rPr>
        <ns0:t xml:space="preserve">To demonstrate domain transferability, we apply WAGF to irrigation demand management in the Colorado River Basin without modifying any framework code. We instantiate a new </ns0:t>
      </ns0:r>
      <ns0:r>
        <ns0:rPr>
          <ns0:rFonts ns0:eastAsia="Times New Roman"/>
        </ns0:rPr>
        <ns0:lastRenderedPageBreak/>
        <ns0:t>domain configuration following Hung and Yang (2021): 78 irrigation districts mapped one-to-one onto real CRSS diversion nodes (56 Upper Basin, 22 Lower Basin), simulated over 42 years (2019–2060) with CRSS precipitation projections (USBR, 2012). Three behavioral clusters from the original Farmer Q-Learning calibration—</ns0:t>
      </ns0:r>
      <ns0:r>
        <ns0:rPr>
          <ns0:rFonts ns0:eastAsia="Times New Roman"/>
          <ns0:i/>
          <ns0:iCs/>
        </ns0:rPr>
        <ns0:t>Aggressive</ns0:t>
      </ns0:r>
      <ns0:r>
        <ns0:rPr>
          <ns0:rFonts ns0:eastAsia="Times New Roman"/>
        </ns0:rPr>
        <ns0:t xml:space="preserve">, </ns0:t>
      </ns0:r>
      <ns0:r>
        <ns0:rPr>
          <ns0:rFonts ns0:eastAsia="Times New Roman"/>
          <ns0:i/>
          <ns0:iCs/>
        </ns0:rPr>
        <ns0:t>Forward-Looking Conservative</ns0:t>
      </ns0:r>
      <ns0:r>
        <ns0:rPr>
          <ns0:rFonts ns0:eastAsia="Times New Roman"/>
        </ns0:rPr>
        <ns0:t xml:space="preserve">, and </ns0:t>
      </ns0:r>
      <ns0:r>
        <ns0:rPr>
          <ns0:rFonts ns0:eastAsia="Times New Roman"/>
          <ns0:i/>
          <ns0:iCs/>
        </ns0:rPr>
        <ns0:t>Myopic Conservative</ns0:t>
      </ns0:r>
      <ns0:r>
        <ns0:rPr>
          <ns0:rFonts ns0:eastAsia="Times New Roman"/>
        </ns0:rPr>
        <ns0:t>—are mapped to LLM persona templates that encode each cluster’s risk attitude and decision magnitude (Yang et al., 2009; Hadjimichael et al., 2020). The only framework inputs that change between flood and irrigation are the YAML configuration files: skill definitions, validator rules, appraisal constructs, and persona templates (Table 1).</ns0:t>
      </ns0:r>
    </ns0:p>
    <ns0:p ns2:paraId="5F65BAD8" ns2:textId="77777777" ns0:rsidR="CF7DCF98" ns0:rsidRDefault="CF7DCF98" ns0:rsidP="CF7DCF98">
      <ns0:pPr>
        <ns0:spacing ns0:after="120" ns0:line="480" ns0:lineRule="auto"/>
        <ns0:ind ns0:firstLine="360"/>
        <ns0:jc ns0:val="both"/>
      </ns0:pPr>
      <ns0:r>
        <ns0:rPr>
          <ns0:rFonts ns0:eastAsia="Times New Roman"/>
        </ns0:rPr>
        <ns0:t>The irrigation domain exercises WAGF capabilities absent in the flood case: cluster-specific magnitude caps (20%/15%/8% per demand-change action), institutional constraints derived from the Colorado River Compact (compact allocation limits, drought severity thresholds), and a dual-appraisal framework (Water Scarcity Assessment and Adaptive Capacity Assessment) that replaces the flood domain’s PMT threat/coping constructs. WAGF’s governance validator chain, memory engine, and broker pipeline operate identically—only the configuration layer changes.</ns0:t>
      </ns0:r>
    </ns0:p>
    <ns0:p ns2:paraId="5CBDEB0D" ns2:textId="77777777" ns0:rsidR="CB5E44CF" ns0:rsidRDefault="CB5E44CF" ns0:rsidP="CB5E44CF">
      <ns0:pPr>
        <ns0:spacing ns0:after="120" ns0:line="480" ns0:lineRule="auto"/>
        <ns0:ind ns0:firstLine="360"/>
        <ns0:jc ns0:val="both"/>
        <ns0:rPr>
          <ns0:ins ns0:id="82" ns0:author="Claude" ns0:date="2026-02-03T02:55:00Z" ns3:dateUtc="2026-02-03T02:55:15Z"/>
        </ns0:rPr>
      </ns0:pPr>
      <ns0:ins ns0:id="83" ns0:author="Claude" ns0:date="2026-02-03T02:55:00Z" ns3:dateUtc="2026-02-03T02:55:15Z">
        <ns0:r>
          <ns0:rPr>
            <ns0:rFonts ns0:eastAsia="Times New Roman"/>
          </ns0:rPr>
          <ns0:t xml:space="preserve">A key extension beyond the flood case study is endogenous human–water coupling: agent demand decisions directly influence Lake Mead storage via a simplified mass balance (SI Section S6), and the resulting elevation changes trigger shortage tiers and curtailment that constrain future decisions. This bidirectional feedback exercises a WAGF capability absent in the unidirectional flood scenario: the governance validator chain must mediate a dynamic equilibrium between agent preferences and physical system response, using the same pipeline architecture without any code modifications.− LB_diversions − Mexico_treaty − evaporation − municipal, where Powell release equals natural flow (scaled by CRSS precipitation projections) minus aggregate Upper Basin diversions. Elevation is interpolated from USBR </ns0:t>
        </ns0:r>
        <ns0:r>
          <ns0:rPr>
            <ns0:rFonts ns0:eastAsia="Times New Roman"/>
          </ns0:rPr>
          <ns0:lastRenderedPageBreak/>
          <ns0:t>storage–elevation data (USBR, 2020). This coupling creates a feedback loop absent in static-demand models: aggressive diversions draw down Lake Mead, triggering shortage tiers and curtailment that constrain future agent decisions—a dynamic that WAGF’s governance validator chain mediates in real time without hard-coded demand trajectories.</ns0:t>
        </ns0:r>
      </ns0:ins>
    </ns0:p>
    <ns0:p ns2:paraId="7CEF31DA" ns2:textId="77777777" ns0:rsidR="00F803C3" ns0:rsidRDefault="00000000">
      <ns0:pPr>
        <ns0:pStyle ns0:val="2"/>
        <ns0:spacing ns0:line="480" ns0:lineRule="auto"/>
      </ns0:pPr>
      <ns0:r>
        <ns0:t>5.2 Results</ns0:t>
      </ns0:r>
    </ns0:p>
    <ns0:p ns2:paraId="7F587A1E" ns2:textId="77777777" ns0:rsidR="CB5E44CF" ns0:rsidRDefault="CB5E44CF" ns0:rsidP="CB5E44CF">
      <ns0:pPr>
        <ns0:spacing ns0:after="120" ns0:line="480" ns0:lineRule="auto"/>
        <ns0:ind ns0:firstLine="360"/>
        <ns0:jc ns0:val="both"/>
        <ns0:rPr>
          <ns0:ins ns0:id="84" ns0:author="Claude" ns0:date="2026-02-03T02:55:00Z" ns3:dateUtc="2026-02-03T02:55:15Z"/>
        </ns0:rPr>
      </ns0:pPr>
      <ns0:ins ns0:id="85" ns0:author="Claude" ns0:date="2026-02-03T02:55:00Z" ns3:dateUtc="2026-02-03T02:55:15Z">
        <ns0:r>
          <ns0:rPr>
            <ns0:rFonts ns0:eastAsia="Times New Roman"/>
          </ns0:rPr>
          <ns0:t>The demand–storage coupling validates WAGF’s governance architecture under bidirectional feedback (Figure 4a). When consecutive dry years lower Lake Mead toward shortage thresholds, the same curtailment validator and drought severity checks configured for the flood domain activate automatically—no new validator code is required. Governed agents collectively reduce demand, producing emergent demand–supply stabilization without any explicit optimization objective. This emergent equilibration—arising from the interaction of LLM reasoning, YAML-configured governance rules, and physical feedback—demonstrates that WAGF’s architecture handles coupled human–water dynamics through configuration alone.–storage coupling produces a Lake Mead trajectory that responds dynamically to agent behavior (Figure 4a). Under CRSS precipitation projections, the basin experiences consecutive dry years in 2020–2023, during which aggregate demand exceeds natural flow and Lake Mead declines sharply. As elevation approaches shortage Tier 1 (1,075 ft), WAGF’s curtailment validator activates, forcing diversion reductions that slow the decline. In contrast, a static-baseline scenario (constant Year 1 demand) depletes storage more rapidly because it lacks this adaptive feedback. The coupled trajectory demonstrates that WAGF-governed agents produce emergent demand–supply equilibration through the interaction of LLM reasoning, governance constraints, and physical feedback—without any explicit optimization objective.</ns0:t>
        </ns0:r>
      </ns0:ins>
    </ns0:p>
    <ns0:p ns2:paraId="0051CFE8" ns2:textId="77777777" ns0:rsidR="CF7DCF98" ns0:rsidRDefault="CF7DCF98" ns0:rsidP="CF7DCF98">
      <ns0:pPr>
        <ns0:spacing ns0:after="120" ns0:line="480" ns0:lineRule="auto"/>
        <ns0:ind ns0:firstLine="360"/>
        <ns0:jc ns0:val="both"/>
      </ns0:pPr>
      <ns0:r>
        <ns0:rPr>
          <ns0:rFonts ns0:eastAsia="Times New Roman"/>
        </ns0:rPr>
        <ns0:t>Figure 3 confirms that WAGF-governed agents produce demand trajectories at realistic CRSS scales. Upper Basin agents request 39.7% more water than the CRSS static baseline, but curtailment enforcement narrows the actual diversion gap to +28.8%; Lower Basin agents show +18.2% request versus +9.1% diversion. The gap between “paper water” (governed request) and “wet water” (curtailed diversion) emerges naturally from the interaction between WAGF’s governance layer and the basin’s institutional allocation rules, without hard-coding demand trajectories.</ns0:t>
      </ns0:r>
      <ns0:r>
        <ns0:rPr>
          <ns0:rFonts ns0:eastAsia="Times New Roman"/>
        </ns0:rPr>
      </ns0:r>
    </ns0:p>
    <ns0:p ns2:paraId="5DA1A643" ns2:textId="77777777" ns0:rsidR="CF7DCF98" ns0:rsidRDefault="CF7DCF98" ns0:rsidP="CF7DCF98">
      <ns0:pPr>
        <ns0:spacing ns0:after="120" ns0:line="480" ns0:lineRule="auto"/>
        <ns0:ind ns0:firstLine="360"/>
        <ns0:jc ns0:val="both"/>
      </ns0:pPr>
      <ns0:r>
        <ns0:rPr>
          <ns0:rFonts ns0:eastAsia="Times New Roman"/>
        </ns0:rPr>
        <ns0:t>The governance layer produces 526 interventions across 3,276 agent-year decisions (16.1% intervention rate), with 173 successful retries and zero parsing failures—confirming that the same retry-and-feedback mechanism validated in the flood domain transfers without modification. Cluster differentiation emerges from the governed LLM decisions: Aggressive agents allocate 40.9% of decisions to increase_demand, Forward-Looking Conservative agents 78.6% to decrease_demand, and Myopic Conservative agents 80.2% to maintain_demand. This behavioral stratification mirrors the qualitative patterns in the original FQL calibration (Hung &amp; Yang, 2021, Figure 7) despite operating through natural-language reasoning rather than Q-value updates.</ns0:t>
      </ns0:r>
    </ns0:p>
    <ns0:p ns2:paraId="1D742DE9" ns2:textId="77777777" ns0:rsidR="CF7DCF98" ns0:rsidRDefault="CF7DCF98" ns0:rsidP="CF7DCF98">
      <ns0:pPr>
        <ns0:spacing ns0:after="120" ns0:line="480" ns0:lineRule="auto"/>
        <ns0:ind ns0:firstLine="360"/>
        <ns0:jc ns0:val="both"/>
      </ns0:pPr>
      <ns0:r>
        <ns0:rPr>
          <ns0:rFonts ns0:eastAsia="Times New Roman"/>
        </ns0:rPr>
        <ns0:t xml:space="preserve">The irrigation case also reveals a hallucination category absent in the flood domain: </ns0:t>
      </ns0:r>
      <ns0:r>
        <ns0:rPr>
          <ns0:rFonts ns0:eastAsia="Times New Roman"/>
          <ns0:i/>
          <ns0:iCs/>
        </ns0:rPr>
        <ns0:t>economic hallucination</ns0:t>
      </ns0:r>
      <ns0:r>
        <ns0:rPr>
          <ns0:rFonts ns0:eastAsia="Times New Roman"/>
        </ns0:rPr>
        <ns0:t>, where persona-anchored conservative agents repeatedly reduce demand toward zero—physically possible but economically absurd. The same governance architecture that catches physical impossibilities in the flood domain (re-elevating an already-elevated house) catches economic absurdities here (farming at 0% utilisation) via a minimum-utilisation identity rule, demonstrating that WAGF’s validator pattern generalizes across qualitatively different failure modes without architectural changes.</ns0:t>
      </ns0:r>
    </ns0:p>
    <ns0:p ns2:paraId="0D121625" ns2:textId="77777777" ns0:rsidR="CF7DCF98" ns0:rsidRDefault="CF7DCF98" ns0:rsidP="CF7DCF98">
      <ns0:pPr>
        <ns0:spacing ns0:before="240" ns0:after="60" ns0:line="480" ns0:lineRule="auto"/>
        <ns0:jc ns0:val="center"/>
      </ns0:pPr>
      <ns0:del ns0:id="86" ns0:author="Claude" ns0:date="2026-02-03T02:55:00Z" ns3:dateUtc="2026-02-03T02:55:15Z">
        <ns0:r ns0:rsidDel="CB5E44CF">
          <ns0:rPr>
            <ns0:rFonts ns0:eastAsia="Times New Roman"/>
            <ns0:i/>
            <ns0:iCs/>
            <ns0:color ns0:val="CC0000"/>
          </ns0:rPr>
          <ns0:delText>[FIGURE 4: WAGF-governed irrigation demand vs. CRSS baseline. (a) Upper Basin, (b) Lower Basin, 2019–2060. 78 real CRSS districts, Gemma 3 4B.]</ns0:delText>
        </ns0:r>
      </ns0:del>
      <ns0:ins ns0:id="87" ns0:author="Claude" ns0:date="2026-02-03T02:55:00Z" ns3:dateUtc="2026-02-03T02:55:15Z">
        <ns0:r ns0:rsidR="CB5E44CF">
          <ns0:rPr>
            <ns0:rFonts ns0:eastAsia="Times New Roman"/>
            <ns0:i/>
            <ns0:iCs/>
            <ns0:color ns0:val="CC0000"/>
          </ns0:rPr>
          <ns0:t>[FIGURE 4: WAGF-governed irrigation with demand–storage coupling. (a) Lake Mead elevation trajectory (WAGF coupled vs. static baseline), (b) Aggregate basin demand by cluster with 95% CI, (c) Annual decision composition. 78 CRSS districts, 42 years (2019–</ns0:t>
        </ns0:r>
        <ns0:r ns0:rsidR="CB5E44CF">
          <ns0:rPr>
            <ns0:rFonts ns0:eastAsia="Times New Roman"/>
            <ns0:i/>
            <ns0:iCs/>
            <ns0:color ns0:val="CC0000"/>
          </ns0:rPr>
          <ns0:lastRenderedPageBreak/>
          <ns0:t>2060), Gemma 3 4B.]</ns0:t>
        </ns0:r>
      </ns0:ins>
    </ns0:p>
    <ns0:p ns2:paraId="09E83C65" ns2:textId="77777777" ns0:rsidR="00F803C3" ns0:rsidRDefault="00000000">
      <ns0:r>
        <ns0:br ns0:type="page"/>
      </ns0:r>
    </ns0:p>
    <ns0:p ns2:paraId="2D61B5F3" ns2:textId="77777777" ns0:rsidR="00F803C3" ns0:rsidRDefault="00000000">
      <ns0:pPr>
        <ns0:pStyle ns0:val="1"/>
        <ns0:spacing ns0:line="480" ns0:lineRule="auto"/>
      </ns0:pPr>
      <ns0:r>
        <ns0:lastRenderedPageBreak/>
        <ns0:t>6. Discussion</ns0:t>
      </ns0:r>
    </ns0:p>
    <ns0:p ns2:paraId="188DFB27" ns2:textId="77777777" ns0:rsidR="00F803C3" ns0:rsidRDefault="00000000">
      <ns0:pPr>
        <ns0:spacing ns0:after="120" ns0:line="480" ns0:lineRule="auto"/>
        <ns0:ind ns0:firstLine="360"/>
        <ns0:jc ns0:val="both"/>
      </ns0:pPr>
      <ns0:r>
        <ns0:rPr>
          <ns0:rFonts ns0:eastAsia="Times New Roman"/>
        </ns0:rPr>
        <ns0:t>EBE provides a diagnostic that raw entropy cannot: the ability to distinguish genuine behavioral diversity from hallucination artifacts. In Group A, raw Hnorm averages 0.664—suggesting moderate diversity—but EBE corrects this to 0.526, revealing that 20.84%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ns0:t>
      </ns0:r>
      <ns0:r>
        <ns0:rPr>
          <ns0:rFonts ns0:eastAsia="Times New Roman"/>
          <ns0:vertAlign ns0:val="subscript"/>
        </ns0:rPr>
      </ns0:r>
      <ns0:r ns0:rsidR="1937EF80">
        <ns0:rPr>
          <ns0:rFonts ns0:eastAsia="Times New Roman"/>
        </ns0:rPr>
      </ns0:r>
      <ns0:del ns0:id="88" ns0:author="Claude" ns0:date="2026-02-01T14:58:00Z" ns3:dateUtc="2026-02-01T14:58:02Z">
        <ns0:r ns0:rsidDel="1937EF80">
          <ns0:rPr>
            <ns0:rFonts ns0:eastAsia="Times New Roman"/>
          </ns0:rPr>
          <ns0:delText>0.61</ns0:delText>
        </ns0:r>
      </ns0:del>
      <ns0:ins ns0:id="89" ns0:author="Claude" ns0:date="2026-02-01T14:58:00Z" ns3:dateUtc="2026-02-01T14:58:02Z">
        <ns0:del ns0:id="90" ns0:author="Claude" ns0:date="2026-02-05T00:00:00Z">
          <ns0:r ns0:rsidR="1937EF80">
            <ns0:rPr>
              <ns0:rFonts ns0:eastAsia="Times New Roman"/>
            </ns0:rPr>
            <ns0:delText>0.613</ns0:delText>
          </ns0:r>
        </ns0:del>
      </ns0:ins>
      <ns0:ins ns0:id="91" ns0:author="Claude" ns0:date="2026-02-05T00:00:00Z">
        <ns0:r>
          <ns0:t>0.613</ns0:t>
        </ns0:r>
      </ns0:ins>
      <ns0:r ns0:rsidR="1937EF80">
        <ns0:rPr>
          <ns0:rFonts ns0:eastAsia="Times New Roman"/>
        </ns0:rPr>
      </ns0:r>
      <ns0:del ns0:id="92" ns0:author="Claude" ns0:date="2026-02-01T14:58:00Z" ns3:dateUtc="2026-02-01T14:58:02Z">
        <ns0:r ns0:rsidDel="1937EF80">
          <ns0:rPr>
            <ns0:rFonts ns0:eastAsia="Times New Roman"/>
          </ns0:rPr>
          <ns0:delText>0.41</ns0:delText>
        </ns0:r>
      </ns0:del>
      <ns0:ins ns0:id="93" ns0:author="Claude" ns0:date="2026-02-01T14:58:00Z" ns3:dateUtc="2026-02-01T14:58:02Z">
        <ns0:r ns0:rsidR="1937EF80">
          <ns0:rPr>
            <ns0:rFonts ns0:eastAsia="Times New Roman"/>
          </ns0:rPr>
          <ns0:t>0.34</ns0:t>
        </ns0:r>
      </ns0:ins>
      <ns0:r ns0:rsidR="1937EF80">
        <ns0:rPr>
          <ns0:rFonts ns0:eastAsia="Times New Roman"/>
        </ns0:rPr>
      </ns0:r>
      <ns0:del ns0:id="94" ns0:author="Claude" ns0:date="2026-02-01T14:58:00Z" ns3:dateUtc="2026-02-01T14:58:02Z">
        <ns0:r ns0:rsidDel="1937EF80">
          <ns0:rPr>
            <ns0:rFonts ns0:eastAsia="Times New Roman"/>
          </ns0:rPr>
          <ns0:delText>one-third</ns0:delText>
        </ns0:r>
      </ns0:del>
      <ns0:ins ns0:id="95" ns0:author="Claude" ns0:date="2026-02-01T14:58:00Z" ns3:dateUtc="2026-02-01T14:58:02Z">
        <ns0:r ns0:rsidR="1937EF80">
          <ns0:rPr>
            <ns0:rFonts ns0:eastAsia="Times New Roman"/>
          </ns0:rPr>
          <ns0:t>approximately 10%</ns0:t>
        </ns0:r>
      </ns0:ins>
      <ns0:r ns0:rsidR="1937EF80">
        <ns0:rPr>
          <ns0:rFonts ns0:eastAsia="Times New Roman"/>
        </ns0:rPr>
      </ns0:r>
    </ns0:p>
    <ns0:p ns2:paraId="19E8D2C6" ns2:textId="77777777" ns0:rsidR="00F803C3" ns0:rsidRDefault="00000000">
      <ns0:pPr>
        <ns0:spacing ns0:after="120" ns0:line="480" ns0:lineRule="auto"/>
        <ns0:ind ns0:firstLine="360"/>
        <ns0:jc ns0:val="both"/>
      </ns0:pPr>
      <ns0:r>
        <ns0:rPr>
          <ns0:rFonts ns0:eastAsia="Times New Roman"/>
        </ns0:rPr>
        <ns0: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ns0:t>
      </ns0:r>
    </ns0:p>
    <ns0:p ns2:paraId="13EAB3F9" ns2:textId="77777777" ns0:rsidR="00F803C3" ns0:rsidRDefault="9E21DE22">
      <ns0:pPr>
        <ns0:spacing ns0:after="120" ns0:line="480" ns0:lineRule="auto"/>
        <ns0:ind ns0:firstLine="360"/>
        <ns0:jc ns0:val="both"/>
      </ns0:pPr>
      <ns0:r>
        <ns0:rPr>
          <ns0:rFonts ns0:eastAsia="Times New Roman"/>
        </ns0:rPr>
        <ns0:t>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governance rules are manually authored from domain expertise; automated rule learning from observed agent behavior remains unexplored. Fourth, the soft governance design (warnings logged but not enforced) means that some behaviorally questionable decisions pass validation when they violate only warning-level coherence rules.</ns0:t>
      </ns0:r>
      <ns0:del ns0:id="96" ns0:author="Claude" ns0:date="2026-02-03T03:21:00Z" ns3:dateUtc="2026-02-03T03:21:09Z">
        <ns0:r ns0:rsidR="00000000" ns0:rsidDel="9E21DE22">
          <ns0:rPr>
            <ns0:rFonts ns0:eastAsia="Times New Roman"/>
          </ns0:rPr>
          <ns0:delText>the irrigation case study demonstrates governance transferability but produces limited behavioral diversity due to uniform environmental signals</ns0:delText>
        </ns0:r>
      </ns0:del>
      <ns0:ins ns0:id="97" ns0:author="Claude" ns0:date="2026-02-03T03:21:00Z" ns3:dateUtc="2026-02-03T03:21:09Z">
        <ns0:r>
          <ns0:rPr>
            <ns0:rFonts ns0:eastAsia="Times New Roman"/>
          </ns0:rPr>
          <ns0:t>the irrigation case study with demand–storage coupling generates richer environmental variability than a static-signal design, but cross-seed ensemble analysis remains necessary to quantify coupling-driven behavioral variance</ns0:t>
        </ns0:r>
      </ns0:ins>
      <ns0:r>
        <ns0:rPr>
          <ns0:rFonts ns0:eastAsia="Times New Roman"/>
        </ns0:rPr>
      </ns0:r>
    </ns0:p>
    <ns0:p ns2:paraId="2E071A38" ns2:textId="77777777" ns0:rsidR="00F803C3" ns0:rsidRDefault="00000000">
      <ns0:pPr>
        <ns0:pStyle ns0:val="1"/>
        <ns0:spacing ns0:line="480" ns0:lineRule="auto"/>
      </ns0:pPr>
      <ns0:r>
        <ns0:t>7. Conclusions</ns0:t>
      </ns0:r>
    </ns0:p>
    <ns0:p ns2:paraId="6185AA1D" ns2:textId="77777777" ns0:rsidR="00F803C3" ns0:rsidRDefault="00000000">
      <ns0:pPr>
        <ns0:spacing ns0:after="120" ns0:line="480" ns0:lineRule="auto"/>
        <ns0:ind ns0:firstLine="360"/>
        <ns0:jc ns0:val="both"/>
      </ns0:pPr>
      <ns0:r>
        <ns0:rPr>
          <ns0:rFonts ns0:eastAsia="Times New Roman"/>
        </ns0:rPr>
        <ns0:t xml:space="preserve">We have presented WAGF, the first governance middleware for LLM-driven agent-based models of human–water systems, along with the Effective Behavioral Entropy (EBE) metric </ns0:t>
      </ns0:r>
      <ns0:r>
        <ns0:rPr>
          <ns0:rFonts ns0:eastAsia="Times New Roman"/>
        </ns0:rPr>
        <ns0:lastRenderedPageBreak/>
        <ns0:t>for measuring genuine decision diversity. Three findings emerge from our two-domain validation.</ns0:t>
      </ns0:r>
    </ns0:p>
    <ns0:p ns2:paraId="5FDBF738" ns2:textId="77777777" ns0:rsidR="00F803C3" ns0:rsidRDefault="1937EF80">
      <ns0:pPr>
        <ns0:spacing ns0:after="120" ns0:line="480" ns0:lineRule="auto"/>
        <ns0:ind ns0:firstLine="360"/>
        <ns0:jc ns0:val="both"/>
      </ns0:pPr>
      <ns0:r>
        <ns0:rPr>
          <ns0:rFonts ns0:eastAsia="Times New Roman"/>
        </ns0:rPr>
        <ns0:t>First, behavioral hallucination is structural, not stochastic. Ungoverned LLM agents produce 20.84% physically impossible decisions in flood adaptation, with rates increasing as agents accumulate state—a systematic failure that cannot be resolved by prompt engineering alone.</ns0:t>
      </ns0:r>
      <ns0:del ns0:id="98" ns0:author="Claude" ns0:date="2026-02-01T14:58:00Z" ns3:dateUtc="2026-02-01T14:58:02Z">
        <ns0:r ns0:rsidR="00000000" ns0:rsidDel="1937EF80">
          <ns0:rPr>
            <ns0:rFonts ns0:eastAsia="Times New Roman"/>
          </ns0:rPr>
          <ns0:delText>8.3%</ns0:delText>
        </ns0:r>
      </ns0:del>
      <ns0:ins ns0:id="99" ns0:author="Claude" ns0:date="2026-02-01T14:58:00Z" ns3:dateUtc="2026-02-01T14:58:02Z">
        <ns0:del ns0:id="100" ns0:author="Claude" ns0:date="2026-02-05T00:00:00Z">
          <ns0:r>
            <ns0:rPr>
              <ns0:rFonts ns0:eastAsia="Times New Roman"/>
            </ns0:rPr>
            <ns0:delText>28.1%</ns0:delText>
          </ns0:r>
        </ns0:del>
      </ns0:ins>
      <ns0:ins ns0:id="101" ns0:author="Claude" ns0:date="2026-02-05T00:00:00Z">
        <ns0:r ns0:rsidR="00000000">
          <ns0:t>28.1%</ns0:t>
        </ns0:r>
      </ns0:ins>
      <ns0:r>
        <ns0:rPr>
          <ns0:rFonts ns0:eastAsia="Times New Roman"/>
        </ns0:rPr>
      </ns0:r>
    </ns0:p>
    <ns0:p ns2:paraId="14A813A3" ns2:textId="77777777" ns0:rsidR="259F63AB" ns0:rsidRDefault="259F63AB" ns0:rsidP="259F63AB">
      <ns0:pPr>
        <ns0:spacing ns0:after="120" ns0:line="480" ns0:lineRule="auto"/>
        <ns0:ind ns0:firstLine="360"/>
        <ns0:jc ns0:val="both"/>
        <ns0:rPr>
          <ns0:ins ns0:id="102" ns0:author="Claude" ns0:date="2026-02-01T04:26:00Z" ns3:dateUtc="2026-02-01T04:26:18Z"/>
        </ns0:rPr>
      </ns0:pPr>
      <ns0:ins ns0:id="103" ns0:author="Claude" ns0:date="2026-02-01T04:26:00Z" ns3:dateUtc="2026-02-01T04:26:18Z">
        <ns0:r>
          <ns0:rPr>
            <ns0:rFonts ns0:eastAsia="Times New Roman"/>
          </ns0:rPr>
          <ns0:t xml:space="preserve">The irrigation case study reveals a second category of behavioral hallucination: </ns0:t>
        </ns0:r>
        <ns0:r>
          <ns0:rPr>
            <ns0:rFonts ns0:eastAsia="Times New Roman"/>
            <ns0:i/>
            <ns0:iCs/>
          </ns0:rPr>
          <ns0:t>economic hallucination</ns0:t>
        </ns0:r>
        <ns0:r>
          <ns0:rPr>
            <ns0:rFonts ns0:eastAsia="Times New Roman"/>
          </ns0:rPr>
          <ns0:t>—actions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WAGF’s three-layer separation provides general protection against LLM behavioral failures in simulation contexts.</ns0:t>
        </ns0:r>
      </ns0:ins>
    </ns0:p>
    <ns0:p ns2:paraId="0F060419" ns2:textId="77777777" ns0:rsidR="00F803C3" ns0:rsidRDefault="00000000">
      <ns0:pPr>
        <ns0:spacing ns0:after="120" ns0:line="480" ns0:lineRule="auto"/>
        <ns0:ind ns0:firstLine="360"/>
        <ns0:jc ns0:val="both"/>
      </ns0:pPr>
      <ns0:r>
        <ns0:rPr>
          <ns0:rFonts ns0:eastAsia="Times New Roman"/>
        </ns0:rPr>
        <ns0:t>Second, governance enables rather than constrains diversity. WAGF-governed agents achieve 32% higher EBE than ungoverned agents, and their cumulative relocation rates (32–37%) far exceed the ungoverned baseline (0%), demonstrating that physically valid decision spaces produce richer behavioral outcomes.</ns0:t>
      </ns0:r>
    </ns0:p>
    <ns0:p ns2:paraId="74D7E92D" ns2:textId="77777777" ns0:rsidR="00F803C3" ns0:rsidRDefault="00000000">
      <ns0:pPr>
        <ns0:spacing ns0:after="120" ns0:line="480" ns0:lineRule="auto"/>
        <ns0:ind ns0:firstLine="360"/>
        <ns0:jc ns0:val="both"/>
      </ns0:pPr>
      <ns0:r>
        <ns0:rPr>
          <ns0:rFonts ns0:eastAsia="Times New Roman"/>
        </ns0:rPr>
        <ns0:t>Third, WAGF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ns0:t>
      </ns0:r>
      <ns0:r>
        <ns0:rPr>
          <ns0:rFonts ns0:eastAsia="Times New Roman"/>
        </ns0:rPr>
        <ns0:lastRenderedPageBreak/>
        <ns0:t>hydrological ABMs (Giuliani et al., 2022; Castelletti et al., 2010).</ns0:t>
      </ns0:r>
    </ns0:p>
    <ns0:p ns2:paraId="1A196919" ns2:textId="77777777" ns0:rsidR="00F803C3" ns0:rsidRDefault="00000000">
      <ns0:pPr>
        <ns0:spacing ns0:after="120" ns0:line="480" ns0:lineRule="auto"/>
        <ns0:ind ns0:firstLine="360"/>
        <ns0:jc ns0:val="both"/>
      </ns0:pPr>
      <ns0:r>
        <ns0:rPr>
          <ns0:rFonts ns0:eastAsia="Times New Roman"/>
        </ns0:rPr>
        <ns0:t>Future work should address multi-agent interaction governance (agents currently decide independently), dynamic rule learning (governance rules are currently static), and integration with larger basin-scale models (Berglund, 2015). WAGF, the EBE metric, and all experiment code are available open-source at [GitHub URL].</ns0:t>
      </ns0:r>
    </ns0:p>
    <ns0:p ns2:paraId="5BE1A066" ns2:textId="77777777" ns0:rsidR="00F803C3" ns0:rsidRDefault="00000000">
      <ns0:r>
        <ns0:br ns0:type="page"/>
      </ns0:r>
    </ns0:p>
    <ns0:p ns2:paraId="79D34B5B" ns2:textId="77777777" ns0:rsidR="00F803C3" ns0:rsidRDefault="00000000">
      <ns0:pPr>
        <ns0:pStyle ns0:val="1"/>
        <ns0:spacing ns0:line="480" ns0:lineRule="auto"/>
      </ns0:pPr>
      <ns0:r>
        <ns0:lastRenderedPageBreak/>
        <ns0:t>Data Availability Statement</ns0:t>
      </ns0:r>
    </ns0:p>
    <ns0:p ns2:paraId="39FEEE40" ns2:textId="77777777" ns0:rsidR="00F803C3" ns0:rsidRDefault="00000000">
      <ns0:pPr>
        <ns0:spacing ns0:after="120" ns0:line="480" ns0:lineRule="auto"/>
        <ns0:jc ns0:val="both"/>
      </ns0:pPr>
      <ns0:r>
        <ns0:rPr>
          <ns0:rFonts ns0:eastAsia="Times New Roman"/>
        </ns0:rPr>
        <ns0: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ns0:t>
      </ns0:r>
    </ns0:p>
    <ns0:p ns2:paraId="0406E166" ns2:textId="77777777" ns0:rsidR="00F803C3" ns0:rsidRDefault="00000000">
      <ns0:pPr>
        <ns0:pStyle ns0:val="1"/>
        <ns0:spacing ns0:line="480" ns0:lineRule="auto"/>
      </ns0:pPr>
      <ns0:r>
        <ns0:t>Conflict of Interest</ns0:t>
      </ns0:r>
    </ns0:p>
    <ns0:p ns2:paraId="1701B8DC" ns2:textId="77777777" ns0:rsidR="00F803C3" ns0:rsidRDefault="00000000">
      <ns0:pPr>
        <ns0:spacing ns0:after="120" ns0:line="480" ns0:lineRule="auto"/>
        <ns0:jc ns0:val="both"/>
      </ns0:pPr>
      <ns0:r>
        <ns0:rPr>
          <ns0:rFonts ns0:eastAsia="Times New Roman"/>
        </ns0:rPr>
        <ns0:t>The authors declare no conflicts of interest relevant to this study.</ns0:t>
      </ns0:r>
    </ns0:p>
    <ns0:p ns2:paraId="381D893E" ns2:textId="77777777" ns0:rsidR="00F803C3" ns0:rsidRDefault="00000000">
      <ns0:pPr>
        <ns0:pStyle ns0:val="1"/>
        <ns0:spacing ns0:line="480" ns0:lineRule="auto"/>
      </ns0:pPr>
      <ns0:r>
        <ns0:t>Author Contributions</ns0:t>
      </ns0:r>
    </ns0:p>
    <ns0:p ns2:paraId="6026E7A3" ns2:textId="77777777" ns0:rsidR="00F803C3" ns0:rsidRDefault="00000000">
      <ns0:pPr>
        <ns0:spacing ns0:after="120" ns0:line="480" ns0:lineRule="auto"/>
        <ns0:jc ns0:val="both"/>
      </ns0:pPr>
      <ns0:r>
        <ns0:rPr>
          <ns0:rFonts ns0:eastAsia="Times New Roman"/>
          <ns0:b/>
          <ns0:bCs/>
        </ns0:rPr>
        <ns0:t xml:space="preserve">Wen-Yu Chen: </ns0:t>
      </ns0:r>
      <ns0:r>
        <ns0:rPr>
          <ns0:rFonts ns0:eastAsia="Times New Roman"/>
        </ns0:rPr>
        <ns0:t xml:space="preserve">Conceptualization, Methodology, Software, Validation, Formal analysis, Investigation, Writing – Original Draft, Visualization. </ns0:t>
      </ns0:r>
      <ns0:r>
        <ns0:rPr>
          <ns0:rFonts ns0:eastAsia="Times New Roman"/>
          <ns0:b/>
          <ns0:bCs/>
        </ns0:rPr>
        <ns0:t xml:space="preserve">[Second Author]: </ns0:t>
      </ns0:r>
      <ns0:r>
        <ns0:rPr>
          <ns0:rFonts ns0:eastAsia="Times New Roman"/>
        </ns0:rPr>
        <ns0:t>Supervision, Writing – Review &amp; Editing, Funding acquisition.</ns0:t>
      </ns0:r>
    </ns0:p>
    <ns0:p ns2:paraId="4F91496E" ns2:textId="77777777" ns0:rsidR="00F803C3" ns0:rsidRDefault="00000000">
      <ns0:pPr>
        <ns0:pStyle ns0:val="1"/>
        <ns0:spacing ns0:line="480" ns0:lineRule="auto"/>
      </ns0:pPr>
      <ns0:r>
        <ns0:t>Acknowledgments</ns0:t>
      </ns0:r>
    </ns0:p>
    <ns0:p ns2:paraId="13BAEC69" ns2:textId="77777777" ns0:rsidR="00F803C3" ns0:rsidRDefault="00000000">
      <ns0:pPr>
        <ns0:spacing ns0:after="120" ns0:line="480" ns0:lineRule="auto"/>
        <ns0:jc ns0:val="both"/>
      </ns0:pPr>
      <ns0:r>
        <ns0:rPr>
          <ns0:rFonts ns0:eastAsia="Times New Roman"/>
        </ns0:rPr>
        <ns0:t>This work was supported by [funding source].</ns0:t>
      </ns0:r>
    </ns0:p>
    <ns0:p ns2:paraId="050C3DC2" ns2:textId="77777777" ns0:rsidR="00F803C3" ns0:rsidRDefault="00000000">
      <ns0:r>
        <ns0:br ns0:type="page"/>
      </ns0:r>
    </ns0:p>
    <ns0:p ns2:paraId="41A9E523" ns2:textId="77777777" ns0:rsidR="00F803C3" ns0:rsidRDefault="00000000">
      <ns0:pPr>
        <ns0:pStyle ns0:val="1"/>
        <ns0:spacing ns0:line="480" ns0:lineRule="auto"/>
      </ns0:pPr>
      <ns0:r>
        <ns0:lastRenderedPageBreak/>
        <ns0:t>References</ns0:t>
      </ns0:r>
    </ns0:p>
    <ns0:p ns2:paraId="2DC84941" ns2:textId="77777777" ns0:rsidR="00F803C3" ns0:rsidRDefault="00000000">
      <ns0:pPr>
        <ns0:spacing ns0:after="120" ns0:line="480" ns0:lineRule="auto"/>
        <ns0:jc ns0:val="both"/>
      </ns0:pPr>
      <ns0:r>
        <ns0:rPr>
          <ns0:rFonts ns0:eastAsia="Times New Roman"/>
        </ns0:rPr>
        <ns0:t xml:space="preserve">Aerts, J. C. J. H., et al. (2018). Integrating human behaviour dynamics into flood disaster risk assessment. </ns0:t>
      </ns0:r>
      <ns0:r>
        <ns0:rPr>
          <ns0:rFonts ns0:eastAsia="Times New Roman"/>
          <ns0:i/>
          <ns0:iCs/>
        </ns0:rPr>
        <ns0:t>Nature Climate Change</ns0:t>
      </ns0:r>
      <ns0:r>
        <ns0:rPr>
          <ns0:rFonts ns0:eastAsia="Times New Roman"/>
        </ns0:rPr>
        <ns0:t>, 8(3), 193–199.</ns0:t>
      </ns0:r>
    </ns0:p>
    <ns0:p ns2:paraId="77AF1EC6" ns2:textId="77777777" ns0:rsidR="00F803C3" ns0:rsidRDefault="00000000">
      <ns0:pPr>
        <ns0:spacing ns0:after="120" ns0:line="480" ns0:lineRule="auto"/>
        <ns0:jc ns0:val="both"/>
      </ns0:pPr>
      <ns0:r>
        <ns0:rPr>
          <ns0:rFonts ns0:eastAsia="Times New Roman"/>
        </ns0:rPr>
        <ns0:t xml:space="preserve">Bai, Y., et al. (2022). Constitutional AI: Harmlessness from AI feedback. </ns0:t>
      </ns0:r>
      <ns0:r>
        <ns0:rPr>
          <ns0:rFonts ns0:eastAsia="Times New Roman"/>
          <ns0:i/>
          <ns0:iCs/>
        </ns0:rPr>
        <ns0:t>arXiv:2212.08073</ns0:t>
      </ns0:r>
      <ns0:r>
        <ns0:rPr>
          <ns0:rFonts ns0:eastAsia="Times New Roman"/>
        </ns0:rPr>
        <ns0:t>.</ns0:t>
      </ns0:r>
    </ns0:p>
    <ns0:p ns2:paraId="143C7BCE" ns2:textId="77777777" ns0:rsidR="00F803C3" ns0:rsidRDefault="00000000">
      <ns0:pPr>
        <ns0:spacing ns0:after="120" ns0:line="480" ns0:lineRule="auto"/>
        <ns0:jc ns0:val="both"/>
      </ns0:pPr>
      <ns0:r>
        <ns0:rPr>
          <ns0:rFonts ns0:eastAsia="Times New Roman"/>
        </ns0:rPr>
        <ns0:t xml:space="preserve">Berglund, E. Z. (2015). Using agent-based modeling for water resources planning and management. </ns0:t>
      </ns0:r>
      <ns0:r>
        <ns0:rPr>
          <ns0:rFonts ns0:eastAsia="Times New Roman"/>
          <ns0:i/>
          <ns0:iCs/>
        </ns0:rPr>
        <ns0:t>J. Water Resour. Plan. Manag.</ns0:t>
      </ns0:r>
      <ns0:r>
        <ns0:rPr>
          <ns0:rFonts ns0:eastAsia="Times New Roman"/>
        </ns0:rPr>
        <ns0:t>, 141(11), 04015025.</ns0:t>
      </ns0:r>
    </ns0:p>
    <ns0:p ns2:paraId="6F665AA3" ns2:textId="77777777" ns0:rsidR="00F803C3" ns0:rsidRDefault="00000000">
      <ns0:pPr>
        <ns0:spacing ns0:after="120" ns0:line="480" ns0:lineRule="auto"/>
        <ns0:jc ns0:val="both"/>
      </ns0:pPr>
      <ns0:r>
        <ns0:rPr>
          <ns0:rFonts ns0:eastAsia="Times New Roman"/>
        </ns0:rPr>
        <ns0:t xml:space="preserve">Boiko, D. A., et al. (2023). Emergent autonomous scientific research capabilities of large language models. </ns0:t>
      </ns0:r>
      <ns0:r>
        <ns0:rPr>
          <ns0:rFonts ns0:eastAsia="Times New Roman"/>
          <ns0:i/>
          <ns0:iCs/>
        </ns0:rPr>
        <ns0:t>Nature</ns0:t>
      </ns0:r>
      <ns0:r>
        <ns0:rPr>
          <ns0:rFonts ns0:eastAsia="Times New Roman"/>
        </ns0:rPr>
        <ns0:t>, 624, 570–578.</ns0:t>
      </ns0:r>
    </ns0:p>
    <ns0:p ns2:paraId="44B00006" ns2:textId="77777777" ns0:rsidR="00F803C3" ns0:rsidRDefault="00000000">
      <ns0:pPr>
        <ns0:spacing ns0:after="120" ns0:line="480" ns0:lineRule="auto"/>
        <ns0:jc ns0:val="both"/>
      </ns0:pPr>
      <ns0:r>
        <ns0:rPr>
          <ns0:rFonts ns0:eastAsia="Times New Roman"/>
        </ns0:rPr>
        <ns0:t xml:space="preserve">Bubeck, P., et al. (2012). A review of risk perceptions and other factors that influence flood mitigation behavior. </ns0:t>
      </ns0:r>
      <ns0:r>
        <ns0:rPr>
          <ns0:rFonts ns0:eastAsia="Times New Roman"/>
          <ns0:i/>
          <ns0:iCs/>
        </ns0:rPr>
        <ns0:t>Risk Analysis</ns0:t>
      </ns0:r>
      <ns0:r>
        <ns0:rPr>
          <ns0:rFonts ns0:eastAsia="Times New Roman"/>
        </ns0:rPr>
        <ns0:t>, 32(9), 1481–1495.</ns0:t>
      </ns0:r>
    </ns0:p>
    <ns0:p ns2:paraId="2EFDB3BB" ns2:textId="77777777" ns0:rsidR="00F803C3" ns0:rsidRDefault="00000000">
      <ns0:pPr>
        <ns0:spacing ns0:after="120" ns0:line="480" ns0:lineRule="auto"/>
        <ns0:jc ns0:val="both"/>
      </ns0:pPr>
      <ns0:r>
        <ns0:rPr>
          <ns0:rFonts ns0:eastAsia="Times New Roman"/>
        </ns0:rPr>
        <ns0:t xml:space="preserve">Castelletti, A., et al. (2010). Tree-based reinforcement learning for optimal water reservoir operation. </ns0:t>
      </ns0:r>
      <ns0:r>
        <ns0:rPr>
          <ns0:rFonts ns0:eastAsia="Times New Roman"/>
          <ns0:i/>
          <ns0:iCs/>
        </ns0:rPr>
        <ns0:t>Water Resour. Res.</ns0:t>
      </ns0:r>
      <ns0:r>
        <ns0:rPr>
          <ns0:rFonts ns0:eastAsia="Times New Roman"/>
        </ns0:rPr>
        <ns0:t>, 46(9), W09507.</ns0:t>
      </ns0:r>
    </ns0:p>
    <ns0:p ns2:paraId="55E4E6B2" ns2:textId="77777777" ns0:rsidR="00F803C3" ns0:rsidRDefault="00000000">
      <ns0:pPr>
        <ns0:spacing ns0:after="120" ns0:line="480" ns0:lineRule="auto"/>
        <ns0:jc ns0:val="both"/>
      </ns0:pPr>
      <ns0:r>
        <ns0:rPr>
          <ns0:rFonts ns0:eastAsia="Times New Roman"/>
        </ns0:rPr>
        <ns0:t xml:space="preserve">Di Baldassarre, G., et al. (2013). Socio-hydrology: Conceptualising human-flood interactions. </ns0:t>
      </ns0:r>
      <ns0:r>
        <ns0:rPr>
          <ns0:rFonts ns0:eastAsia="Times New Roman"/>
          <ns0:i/>
          <ns0:iCs/>
        </ns0:rPr>
        <ns0:t>Hydrol. Earth Syst. Sci.</ns0:t>
      </ns0:r>
      <ns0:r>
        <ns0:rPr>
          <ns0:rFonts ns0:eastAsia="Times New Roman"/>
        </ns0:rPr>
        <ns0:t>, 17(8), 3295–3303.</ns0:t>
      </ns0:r>
    </ns0:p>
    <ns0:p ns2:paraId="49732BBB" ns2:textId="77777777" ns0:rsidR="00F803C3" ns0:rsidRDefault="00000000">
      <ns0:pPr>
        <ns0:spacing ns0:after="120" ns0:line="480" ns0:lineRule="auto"/>
        <ns0:jc ns0:val="both"/>
      </ns0:pPr>
      <ns0:r>
        <ns0:rPr>
          <ns0:rFonts ns0:eastAsia="Times New Roman"/>
        </ns0:rPr>
        <ns0:t xml:space="preserve">Filatova, T., et al. (2013). Spatial agent-based models for socio-ecological systems. </ns0:t>
      </ns0:r>
      <ns0:r>
        <ns0:rPr>
          <ns0:rFonts ns0:eastAsia="Times New Roman"/>
          <ns0:i/>
          <ns0:iCs/>
        </ns0:rPr>
        <ns0:t>Environ. Model. Softw.</ns0:t>
      </ns0:r>
      <ns0:r>
        <ns0:rPr>
          <ns0:rFonts ns0:eastAsia="Times New Roman"/>
        </ns0:rPr>
        <ns0:t>, 45, 1–7.</ns0:t>
      </ns0:r>
    </ns0:p>
    <ns0:p ns2:paraId="62618271" ns2:textId="77777777" ns0:rsidR="00F803C3" ns0:rsidRDefault="00000000">
      <ns0:pPr>
        <ns0:spacing ns0:after="120" ns0:line="480" ns0:lineRule="auto"/>
        <ns0:jc ns0:val="both"/>
      </ns0:pPr>
      <ns0:r>
        <ns0:rPr>
          <ns0:rFonts ns0:eastAsia="Times New Roman"/>
        </ns0:rPr>
        <ns0:t xml:space="preserve">Gao, C., et al. (2024). Large language models empowered agent-based modeling and simulation: A survey. </ns0:t>
      </ns0:r>
      <ns0:r>
        <ns0:rPr>
          <ns0:rFonts ns0:eastAsia="Times New Roman"/>
          <ns0:i/>
          <ns0:iCs/>
        </ns0:rPr>
        <ns0:t>Humanit. Soc. Sci. Commun.</ns0:t>
      </ns0:r>
      <ns0:r>
        <ns0:rPr>
          <ns0:rFonts ns0:eastAsia="Times New Roman"/>
        </ns0:rPr>
        <ns0:t>, 11, 1498.</ns0:t>
      </ns0:r>
    </ns0:p>
    <ns0:p ns2:paraId="51D61D44" ns2:textId="77777777" ns0:rsidR="00F803C3" ns0:rsidRDefault="00000000">
      <ns0:pPr>
        <ns0:spacing ns0:after="120" ns0:line="480" ns0:lineRule="auto"/>
        <ns0:jc ns0:val="both"/>
      </ns0:pPr>
      <ns0:r>
        <ns0:rPr>
          <ns0:rFonts ns0:eastAsia="Times New Roman"/>
        </ns0:rPr>
        <ns0:t xml:space="preserve">Gemma Team (2024). Gemma: Open models based on Gemini research and technology. </ns0:t>
      </ns0:r>
      <ns0:r>
        <ns0:rPr>
          <ns0:rFonts ns0:eastAsia="Times New Roman"/>
          <ns0:i/>
          <ns0:iCs/>
        </ns0:rPr>
        <ns0:t>arXiv:2403.08295</ns0:t>
      </ns0:r>
      <ns0:r>
        <ns0:rPr>
          <ns0:rFonts ns0:eastAsia="Times New Roman"/>
        </ns0:rPr>
        <ns0:t>.</ns0:t>
      </ns0:r>
    </ns0:p>
    <ns0:p ns2:paraId="1E2D88FB" ns2:textId="77777777" ns0:rsidR="00F803C3" ns0:rsidRDefault="00000000">
      <ns0:pPr>
        <ns0:spacing ns0:after="120" ns0:line="480" ns0:lineRule="auto"/>
        <ns0:jc ns0:val="both"/>
      </ns0:pPr>
      <ns0:r>
        <ns0:rPr>
          <ns0:rFonts ns0:eastAsia="Times New Roman"/>
        </ns0:rPr>
        <ns0:t xml:space="preserve">Giuliani, M., et al. (2016). Is robustness really robust? </ns0:t>
      </ns0:r>
      <ns0:r>
        <ns0:rPr>
          <ns0:rFonts ns0:eastAsia="Times New Roman"/>
          <ns0:i/>
          <ns0:iCs/>
        </ns0:rPr>
        <ns0:t>Climatic Change</ns0:t>
      </ns0:r>
      <ns0:r>
        <ns0:rPr>
          <ns0:rFonts ns0:eastAsia="Times New Roman"/>
        </ns0:rPr>
        <ns0:t>, 135(3), 409–424.</ns0:t>
      </ns0:r>
    </ns0:p>
    <ns0:p ns2:paraId="53ECBF67" ns2:textId="77777777" ns0:rsidR="00F803C3" ns0:rsidRDefault="00000000">
      <ns0:pPr>
        <ns0:spacing ns0:after="120" ns0:line="480" ns0:lineRule="auto"/>
        <ns0:jc ns0:val="both"/>
      </ns0:pPr>
      <ns0:r>
        <ns0:rPr>
          <ns0:rFonts ns0:eastAsia="Times New Roman"/>
        </ns0:rPr>
        <ns0:t xml:space="preserve">Giuliani, M., et al. (2022). Is it worth using AI to solve the water crisis? </ns0:t>
      </ns0:r>
      <ns0:r>
        <ns0:rPr>
          <ns0:rFonts ns0:eastAsia="Times New Roman"/>
          <ns0:i/>
          <ns0:iCs/>
        </ns0:rPr>
        <ns0:t>Water Resour. Res.</ns0:t>
      </ns0:r>
      <ns0:r>
        <ns0:rPr>
          <ns0:rFonts ns0:eastAsia="Times New Roman"/>
        </ns0:rPr>
        <ns0:t xml:space="preserve">, </ns0:t>
      </ns0:r>
      <ns0:r>
        <ns0:rPr>
          <ns0:rFonts ns0:eastAsia="Times New Roman"/>
        </ns0:rPr>
        <ns0:lastRenderedPageBreak/>
        <ns0:t>58(4), e2021WR031219.</ns0:t>
      </ns0:r>
    </ns0:p>
    <ns0:p ns2:paraId="3C77B16D" ns2:textId="77777777" ns0:rsidR="00F803C3" ns0:rsidRDefault="00000000">
      <ns0:pPr>
        <ns0:spacing ns0:after="120" ns0:line="480" ns0:lineRule="auto"/>
        <ns0:jc ns0:val="both"/>
      </ns0:pPr>
      <ns0:r>
        <ns0:rPr>
          <ns0:rFonts ns0:eastAsia="Times New Roman"/>
        </ns0:rPr>
        <ns0:t xml:space="preserve">Guo, D., et al. (2025). DeepSeek-R1: Incentivizing reasoning capability in LLMs via reinforcement learning. </ns0:t>
      </ns0:r>
      <ns0:r>
        <ns0:rPr>
          <ns0:rFonts ns0:eastAsia="Times New Roman"/>
          <ns0:i/>
          <ns0:iCs/>
        </ns0:rPr>
        <ns0:t>arXiv:2501.12948</ns0:t>
      </ns0:r>
      <ns0:r>
        <ns0:rPr>
          <ns0:rFonts ns0:eastAsia="Times New Roman"/>
        </ns0:rPr>
        <ns0:t>.</ns0:t>
      </ns0:r>
    </ns0:p>
    <ns0:p ns2:paraId="56DE88B9" ns2:textId="77777777" ns0:rsidR="00F803C3" ns0:rsidRDefault="00000000">
      <ns0:pPr>
        <ns0:spacing ns0:after="120" ns0:line="480" ns0:lineRule="auto"/>
        <ns0:jc ns0:val="both"/>
      </ns0:pPr>
      <ns0:r>
        <ns0:rPr>
          <ns0:rFonts ns0:eastAsia="Times New Roman"/>
        </ns0:rPr>
        <ns0:t xml:space="preserve">Hadjimichael, A., et al. (2020). Defining robustness for diverse stakeholder interests in institutionally complex river basins. </ns0:t>
      </ns0:r>
      <ns0:r>
        <ns0:rPr>
          <ns0:rFonts ns0:eastAsia="Times New Roman"/>
          <ns0:i/>
          <ns0:iCs/>
        </ns0:rPr>
        <ns0:t>Earth’s Future</ns0:t>
      </ns0:r>
      <ns0:r>
        <ns0:rPr>
          <ns0:rFonts ns0:eastAsia="Times New Roman"/>
        </ns0:rPr>
        <ns0:t>, 8(7), e2020EF001503.</ns0:t>
      </ns0:r>
    </ns0:p>
    <ns0:p ns2:paraId="32301127" ns2:textId="77777777" ns0:rsidR="00F803C3" ns0:rsidRDefault="00000000">
      <ns0:pPr>
        <ns0:spacing ns0:after="120" ns0:line="480" ns0:lineRule="auto"/>
        <ns0:jc ns0:val="both"/>
      </ns0:pPr>
      <ns0:r>
        <ns0:rPr>
          <ns0:rFonts ns0:eastAsia="Times New Roman"/>
        </ns0:rPr>
        <ns0:t xml:space="preserve">Herman, J. D., et al. (2015). How should robustness be defined for water systems planning under change? </ns0:t>
      </ns0:r>
      <ns0:r>
        <ns0:rPr>
          <ns0:rFonts ns0:eastAsia="Times New Roman"/>
          <ns0:i/>
          <ns0:iCs/>
        </ns0:rPr>
        <ns0:t>J. Water Resour. Plan. Manag.</ns0:t>
      </ns0:r>
      <ns0:r>
        <ns0:rPr>
          <ns0:rFonts ns0:eastAsia="Times New Roman"/>
        </ns0:rPr>
        <ns0:t>, 141(10), 04015012.</ns0:t>
      </ns0:r>
    </ns0:p>
    <ns0:p ns2:paraId="790EC6E0" ns2:textId="77777777" ns0:rsidR="00F803C3" ns0:rsidRDefault="00000000">
      <ns0:pPr>
        <ns0:spacing ns0:after="120" ns0:line="480" ns0:lineRule="auto"/>
        <ns0:jc ns0:val="both"/>
      </ns0:pPr>
      <ns0:r>
        <ns0:rPr>
          <ns0:rFonts ns0:eastAsia="Times New Roman"/>
        </ns0:rPr>
        <ns0:t xml:space="preserve">Hung, C.-L., &amp; Yang, Y. C. E. (2021). An agent-based modeling approach for water resources management under uncertainty. </ns0:t>
      </ns0:r>
      <ns0:r>
        <ns0:rPr>
          <ns0:rFonts ns0:eastAsia="Times New Roman"/>
          <ns0:i/>
          <ns0:iCs/>
        </ns0:rPr>
        <ns0:t>Water Resour. Res.</ns0:t>
      </ns0:r>
      <ns0:r>
        <ns0:rPr>
          <ns0:rFonts ns0:eastAsia="Times New Roman"/>
        </ns0:rPr>
        <ns0:t>, 57(10), e2021WR030519.</ns0:t>
      </ns0:r>
    </ns0:p>
    <ns0:p ns2:paraId="46F08B0B" ns2:textId="77777777" ns0:rsidR="00F803C3" ns0:rsidRDefault="00000000">
      <ns0:pPr>
        <ns0:spacing ns0:after="120" ns0:line="480" ns0:lineRule="auto"/>
        <ns0:jc ns0:val="both"/>
      </ns0:pPr>
      <ns0:r>
        <ns0:rPr>
          <ns0:rFonts ns0:eastAsia="Times New Roman"/>
        </ns0:rPr>
        <ns0:t xml:space="preserve">Ji, Z., et al. (2023). Survey of hallucination in natural language generation. </ns0:t>
      </ns0:r>
      <ns0:r>
        <ns0:rPr>
          <ns0:rFonts ns0:eastAsia="Times New Roman"/>
          <ns0:i/>
          <ns0:iCs/>
        </ns0:rPr>
        <ns0:t>ACM Comput. Surv.</ns0:t>
      </ns0:r>
      <ns0:r>
        <ns0:rPr>
          <ns0:rFonts ns0:eastAsia="Times New Roman"/>
        </ns0:rPr>
        <ns0:t>, 55(12), 1–38.</ns0:t>
      </ns0:r>
    </ns0:p>
    <ns0:p ns2:paraId="1512EEA7" ns2:textId="77777777" ns0:rsidR="00F803C3" ns0:rsidRDefault="00000000">
      <ns0:pPr>
        <ns0:spacing ns0:after="120" ns0:line="480" ns0:lineRule="auto"/>
        <ns0:jc ns0:val="both"/>
      </ns0:pPr>
      <ns0:r>
        <ns0:rPr>
          <ns0:rFonts ns0:eastAsia="Times New Roman"/>
        </ns0:rPr>
        <ns0:t xml:space="preserve">Jost, L. (2006). Entropy and diversity. </ns0:t>
      </ns0:r>
      <ns0:r>
        <ns0:rPr>
          <ns0:rFonts ns0:eastAsia="Times New Roman"/>
          <ns0:i/>
          <ns0:iCs/>
        </ns0:rPr>
        <ns0:t>Oikos</ns0:t>
      </ns0:r>
      <ns0:r>
        <ns0:rPr>
          <ns0:rFonts ns0:eastAsia="Times New Roman"/>
        </ns0:rPr>
        <ns0:t>, 113(2), 363–375.</ns0:t>
      </ns0:r>
    </ns0:p>
    <ns0:p ns2:paraId="125A455A" ns2:textId="77777777" ns0:rsidR="00F803C3" ns0:rsidRDefault="00000000">
      <ns0:pPr>
        <ns0:spacing ns0:after="120" ns0:line="480" ns0:lineRule="auto"/>
        <ns0:jc ns0:val="both"/>
      </ns0:pPr>
      <ns0:r>
        <ns0:rPr>
          <ns0:rFonts ns0:eastAsia="Times New Roman"/>
        </ns0:rPr>
        <ns0:t xml:space="preserve">Kanta, L., &amp; Zechman, E. (2014). Complex adaptive systems framework for urban water resources. </ns0:t>
      </ns0:r>
      <ns0:r>
        <ns0:rPr>
          <ns0:rFonts ns0:eastAsia="Times New Roman"/>
          <ns0:i/>
          <ns0:iCs/>
        </ns0:rPr>
        <ns0:t>J. Water Resour. Plan. Manag.</ns0:t>
      </ns0:r>
      <ns0:r>
        <ns0:rPr>
          <ns0:rFonts ns0:eastAsia="Times New Roman"/>
        </ns0:rPr>
        <ns0:t>, 140(1), 75–85.</ns0:t>
      </ns0:r>
    </ns0:p>
    <ns0:p ns2:paraId="2C234884" ns2:textId="77777777" ns0:rsidR="00F803C3" ns0:rsidRDefault="00000000">
      <ns0:pPr>
        <ns0:spacing ns0:after="120" ns0:line="480" ns0:lineRule="auto"/>
        <ns0:jc ns0:val="both"/>
      </ns0:pPr>
      <ns0:r>
        <ns0:rPr>
          <ns0:rFonts ns0:eastAsia="Times New Roman"/>
        </ns0:rPr>
        <ns0:t>Ollama (2024). Ollama: Run large language models locally. https://ollama.com</ns0:t>
      </ns0:r>
    </ns0:p>
    <ns0:p ns2:paraId="60A1B9FB" ns2:textId="77777777" ns0:rsidR="00F803C3" ns0:rsidRDefault="00000000">
      <ns0:pPr>
        <ns0:spacing ns0:after="120" ns0:line="480" ns0:lineRule="auto"/>
        <ns0:jc ns0:val="both"/>
      </ns0:pPr>
      <ns0:r>
        <ns0:rPr>
          <ns0:rFonts ns0:eastAsia="Times New Roman"/>
        </ns0:rPr>
        <ns0:t xml:space="preserve">Ouyang, L., et al. (2022). Training language models to follow instructions with human feedback. </ns0:t>
      </ns0:r>
      <ns0:r>
        <ns0:rPr>
          <ns0:rFonts ns0:eastAsia="Times New Roman"/>
          <ns0:i/>
          <ns0:iCs/>
        </ns0:rPr>
        <ns0:t>NeurIPS</ns0:t>
      </ns0:r>
      <ns0:r>
        <ns0:rPr>
          <ns0:rFonts ns0:eastAsia="Times New Roman"/>
        </ns0:rPr>
        <ns0:t>, 35, 27730–27744.</ns0:t>
      </ns0:r>
    </ns0:p>
    <ns0:p ns2:paraId="3768BDB5" ns2:textId="77777777" ns0:rsidR="00F803C3" ns0:rsidRDefault="00000000">
      <ns0:pPr>
        <ns0:spacing ns0:after="120" ns0:line="480" ns0:lineRule="auto"/>
        <ns0:jc ns0:val="both"/>
      </ns0:pPr>
      <ns0:r>
        <ns0:rPr>
          <ns0:rFonts ns0:eastAsia="Times New Roman"/>
        </ns0:rPr>
        <ns0:t xml:space="preserve">Park, J. S., et al. (2023). Generative agents: Interactive simulacra of human behavior. </ns0:t>
      </ns0:r>
      <ns0:r>
        <ns0:rPr>
          <ns0:rFonts ns0:eastAsia="Times New Roman"/>
          <ns0:i/>
          <ns0:iCs/>
        </ns0:rPr>
        <ns0:t>ACM UIST</ns0:t>
      </ns0:r>
      <ns0:r>
        <ns0:rPr>
          <ns0:rFonts ns0:eastAsia="Times New Roman"/>
        </ns0:rPr>
        <ns0:t>, 1–22.</ns0:t>
      </ns0:r>
    </ns0:p>
    <ns0:p ns2:paraId="48429555" ns2:textId="77777777" ns0:rsidR="00F803C3" ns0:rsidRDefault="00000000">
      <ns0:pPr>
        <ns0:spacing ns0:after="120" ns0:line="480" ns0:lineRule="auto"/>
        <ns0:jc ns0:val="both"/>
      </ns0:pPr>
      <ns0:r>
        <ns0:rPr>
          <ns0:rFonts ns0:eastAsia="Times New Roman"/>
        </ns0:rPr>
        <ns0:t xml:space="preserve">Rao, A. S., &amp; Georgeff, M. P. (1995). BDI agents: From theory to practice. </ns0:t>
      </ns0:r>
      <ns0:r>
        <ns0:rPr>
          <ns0:rFonts ns0:eastAsia="Times New Roman"/>
          <ns0:i/>
          <ns0:iCs/>
        </ns0:rPr>
        <ns0:t>Proc. 1st Int. Conf. Multi-Agent Syst.</ns0:t>
      </ns0:r>
      <ns0:r>
        <ns0:rPr>
          <ns0:rFonts ns0:eastAsia="Times New Roman"/>
        </ns0:rPr>
        <ns0:t>, 312–319.</ns0:t>
      </ns0:r>
    </ns0:p>
    <ns0:p ns2:paraId="3D67A9C8" ns2:textId="77777777" ns0:rsidR="00F803C3" ns0:rsidRDefault="00000000">
      <ns0:pPr>
        <ns0:spacing ns0:after="120" ns0:line="480" ns0:lineRule="auto"/>
        <ns0:jc ns0:val="both"/>
      </ns0:pPr>
      <ns0:r>
        <ns0:rPr>
          <ns0:rFonts ns0:eastAsia="Times New Roman"/>
        </ns0:rPr>
        <ns0:t xml:space="preserve">Rogers, R. W. (1975). A protection motivation theory of fear appeals and attitude change. </ns0:t>
      </ns0:r>
      <ns0:r>
        <ns0:rPr>
          <ns0:rFonts ns0:eastAsia="Times New Roman"/>
          <ns0:i/>
          <ns0:iCs/>
        </ns0:rPr>
        <ns0:t>The Journal of Psychology</ns0:t>
      </ns0:r>
      <ns0:r>
        <ns0:rPr>
          <ns0:rFonts ns0:eastAsia="Times New Roman"/>
        </ns0:rPr>
        <ns0:t>, 91(1), 93–114.</ns0:t>
      </ns0:r>
    </ns0:p>
    <ns0:p ns2:paraId="4CE93792" ns2:textId="77777777" ns0:rsidR="00F803C3" ns0:rsidRDefault="00000000">
      <ns0:pPr>
        <ns0:spacing ns0:after="120" ns0:line="480" ns0:lineRule="auto"/>
        <ns0:jc ns0:val="both"/>
      </ns0:pPr>
      <ns0:r>
        <ns0:rPr>
          <ns0:rFonts ns0:eastAsia="Times New Roman"/>
        </ns0:rPr>
        <ns0:lastRenderedPageBreak/>
        <ns0:t xml:space="preserve">Rogers, R. W. (1983). Cognitive and psychological processes in fear appeals and attitude change. In J. Cacioppo &amp; R. Petty (Eds.), </ns0:t>
      </ns0:r>
      <ns0:r>
        <ns0:rPr>
          <ns0:rFonts ns0:eastAsia="Times New Roman"/>
          <ns0:i/>
          <ns0:iCs/>
        </ns0:rPr>
        <ns0:t>Social Psychophysiology</ns0:t>
      </ns0:r>
      <ns0:r>
        <ns0:rPr>
          <ns0:rFonts ns0:eastAsia="Times New Roman"/>
        </ns0:rPr>
        <ns0:t xml:space="preserve"> (pp. 153–176). Guilford Press.</ns0:t>
      </ns0:r>
    </ns0:p>
    <ns0:p ns2:paraId="2A05B4AE" ns2:textId="77777777" ns0:rsidR="00F803C3" ns0:rsidRDefault="00000000">
      <ns0:pPr>
        <ns0:spacing ns0:after="120" ns0:line="480" ns0:lineRule="auto"/>
        <ns0:jc ns0:val="both"/>
      </ns0:pPr>
      <ns0:r>
        <ns0:rPr>
          <ns0:rFonts ns0:eastAsia="Times New Roman"/>
        </ns0:rPr>
        <ns0:t xml:space="preserve">Shannon, C. E. (1948). A mathematical theory of communication. </ns0:t>
      </ns0:r>
      <ns0:r>
        <ns0:rPr>
          <ns0:rFonts ns0:eastAsia="Times New Roman"/>
          <ns0:i/>
          <ns0:iCs/>
        </ns0:rPr>
        <ns0:t>Bell Syst. Tech. J.</ns0:t>
      </ns0:r>
      <ns0:r>
        <ns0:rPr>
          <ns0:rFonts ns0:eastAsia="Times New Roman"/>
        </ns0:rPr>
        <ns0:t>, 27(3), 379–423.</ns0:t>
      </ns0:r>
    </ns0:p>
    <ns0:p ns2:paraId="37F14C7B" ns2:textId="77777777" ns0:rsidR="00F803C3" ns0:rsidRDefault="00000000">
      <ns0:pPr>
        <ns0:spacing ns0:after="120" ns0:line="480" ns0:lineRule="auto"/>
        <ns0:jc ns0:val="both"/>
      </ns0:pPr>
      <ns0:r>
        <ns0:rPr>
          <ns0:rFonts ns0:eastAsia="Times New Roman"/>
        </ns0:rPr>
        <ns0:t xml:space="preserve">Shumailov, I., et al. (2024). AI models collapse when trained on recursively generated data. </ns0:t>
      </ns0:r>
      <ns0:r>
        <ns0:rPr>
          <ns0:rFonts ns0:eastAsia="Times New Roman"/>
          <ns0:i/>
          <ns0:iCs/>
        </ns0:rPr>
        <ns0:t>Nature</ns0:t>
      </ns0:r>
      <ns0:r>
        <ns0:rPr>
          <ns0:rFonts ns0:eastAsia="Times New Roman"/>
        </ns0:rPr>
        <ns0:t>, 631, 755–759.</ns0:t>
      </ns0:r>
    </ns0:p>
    <ns0:p ns2:paraId="3F0FD949" ns2:textId="77777777" ns0:rsidR="00F803C3" ns0:rsidRDefault="00000000">
      <ns0:pPr>
        <ns0:spacing ns0:after="120" ns0:line="480" ns0:lineRule="auto"/>
        <ns0:jc ns0:val="both"/>
      </ns0:pPr>
      <ns0:r>
        <ns0:rPr>
          <ns0:rFonts ns0:eastAsia="Times New Roman"/>
        </ns0:rPr>
        <ns0:t xml:space="preserve">Sivapalan, M., et al. (2012). Socio-hydrology: A new science of people and water. </ns0:t>
      </ns0:r>
      <ns0:r>
        <ns0:rPr>
          <ns0:rFonts ns0:eastAsia="Times New Roman"/>
          <ns0:i/>
          <ns0:iCs/>
        </ns0:rPr>
        <ns0:t>Hydrol. Process.</ns0:t>
      </ns0:r>
      <ns0:r>
        <ns0:rPr>
          <ns0:rFonts ns0:eastAsia="Times New Roman"/>
        </ns0:rPr>
        <ns0:t>, 26(8), 1270–1276.</ns0:t>
      </ns0:r>
    </ns0:p>
    <ns0:p ns2:paraId="5E0F8DC0" ns2:textId="77777777" ns0:rsidR="00F803C3" ns0:rsidRDefault="00000000">
      <ns0:pPr>
        <ns0:spacing ns0:after="120" ns0:line="480" ns0:lineRule="auto"/>
        <ns0:jc ns0:val="both"/>
      </ns0:pPr>
      <ns0:r>
        <ns0:rPr>
          <ns0:rFonts ns0:eastAsia="Times New Roman"/>
        </ns0:rPr>
        <ns0:t xml:space="preserve">Touvron, H., et al. (2023). Llama 2: Open foundation and fine-tuned chat models. </ns0:t>
      </ns0:r>
      <ns0:r>
        <ns0:rPr>
          <ns0:rFonts ns0:eastAsia="Times New Roman"/>
          <ns0:i/>
          <ns0:iCs/>
        </ns0:rPr>
        <ns0:t>arXiv:2307.09288</ns0:t>
      </ns0:r>
      <ns0:r>
        <ns0:rPr>
          <ns0:rFonts ns0:eastAsia="Times New Roman"/>
        </ns0:rPr>
        <ns0:t>.</ns0:t>
      </ns0:r>
    </ns0:p>
    <ns0:p ns2:paraId="15BDDC7D" ns2:textId="77777777" ns0:rsidR="00F803C3" ns0:rsidRDefault="00000000">
      <ns0:pPr>
        <ns0:spacing ns0:after="120" ns0:line="480" ns0:lineRule="auto"/>
        <ns0:jc ns0:val="both"/>
      </ns0:pPr>
      <ns0:r>
        <ns0:rPr>
          <ns0:rFonts ns0:eastAsia="Times New Roman"/>
        </ns0:rPr>
        <ns0:t>U.S. Bureau of Reclamation (2012). Colorado River Simulation System (CRSS). Washington, DC.</ns0:t>
      </ns0:r>
    </ns0:p>
    <ns0:p ns2:paraId="2FC063CE" ns2:textId="77777777" ns0:rsidR="00F803C3" ns0:rsidRDefault="00000000">
      <ns0:pPr>
        <ns0:spacing ns0:after="120" ns0:line="480" ns0:lineRule="auto"/>
        <ns0:jc ns0:val="both"/>
      </ns0:pPr>
      <ns0:r>
        <ns0:rPr>
          <ns0:rFonts ns0:eastAsia="Times New Roman"/>
        </ns0:rPr>
        <ns0:t xml:space="preserve">Wei, J., et al. (2022). Chain-of-thought prompting elicits reasoning in large language models. </ns0:t>
      </ns0:r>
      <ns0:r>
        <ns0:rPr>
          <ns0:rFonts ns0:eastAsia="Times New Roman"/>
          <ns0:i/>
          <ns0:iCs/>
        </ns0:rPr>
        <ns0:t>NeurIPS</ns0:t>
      </ns0:r>
      <ns0:r>
        <ns0:rPr>
          <ns0:rFonts ns0:eastAsia="Times New Roman"/>
        </ns0:rPr>
        <ns0:t>, 35, 24824–24837.</ns0:t>
      </ns0:r>
    </ns0:p>
    <ns0:p ns2:paraId="02C198C0" ns2:textId="77777777" ns0:rsidR="00F803C3" ns0:rsidRDefault="00000000">
      <ns0:pPr>
        <ns0:spacing ns0:after="120" ns0:line="480" ns0:lineRule="auto"/>
        <ns0:jc ns0:val="both"/>
      </ns0:pPr>
      <ns0:r>
        <ns0:rPr>
          <ns0:rFonts ns0:eastAsia="Times New Roman"/>
        </ns0:rPr>
        <ns0:t xml:space="preserve">Yang, Y. C. E., et al. (2009). A decentralized optimization algorithm for multiagent system-based watershed management. </ns0:t>
      </ns0:r>
      <ns0:r>
        <ns0:rPr>
          <ns0:rFonts ns0:eastAsia="Times New Roman"/>
          <ns0:i/>
          <ns0:iCs/>
        </ns0:rPr>
        <ns0:t>Water Resour. Res.</ns0:t>
      </ns0:r>
      <ns0:r>
        <ns0:rPr>
          <ns0:rFonts ns0:eastAsia="Times New Roman"/>
        </ns0:rPr>
        <ns0:t>, 45(8), W08430.</ns0:t>
      </ns0:r>
    </ns0:p>
    <ns0:sectPr ns0:rsidR="00F803C3">
      <ns0:headerReference ns0:type="default" ns4:id="rId7"/>
      <ns0:footerReference ns0:type="default" ns4:id="rId8"/>
      <ns0:pgSz ns0:w="11906" ns0:h="16838"/>
      <ns0:pgMar ns0:top="1440" ns0:right="1440" ns0:bottom="1440" ns0:left="1440" ns0:header="708" ns0:footer="708" ns0:gutter="0"/>
      <ns0:pgNumType ns0:start="1"/>
      <ns0:cols ns0:space="720"/>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927A72"/>
  <w15:docId w15:val="{06CCC1A7-33B5-4603-99BA-173FF5ED86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