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 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broker with domain-specific rule configurations rather than redesigned decision logic, the architecture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Skill distribution showing ungoverned collapse into demand increases and FQL dominance of validator-blocked maintain. (d) Strategy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Skill legality</w:t>
      </w:r>
      <w:r>
        <w:rPr>
          <w:rFonts w:ascii="Times New Roman" w:hAnsi="Times New Roman" w:eastAsia="Times New Roman"/>
          <w:b w:val="0"/>
          <w:i w:val="0"/>
          <w:sz w:val="22"/>
        </w:rPr>
        <w:t>: Verifies the proposed action belongs to the agent's type-specific skill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spacing w:after="0" w:before="0" w:line="480" w:lineRule="auto"/>
        <w:ind w:firstLine="432"/>
        <w:jc w:val="both"/>
      </w:pPr>
      <w:r>
        <w:rPr>
          <w:rFonts w:ascii="Times New Roman" w:hAnsi="Times New Roman" w:eastAsia="Times New Roman"/>
          <w:b w:val="0"/>
          <w:i w:val="0"/>
          <w:sz w:val="22"/>
        </w:rPr>
        <w:t>The broker core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Skill registries</w:t>
      </w:r>
      <w:r>
        <w:rPr>
          <w:rFonts w:ascii="Times New Roman" w:hAnsi="Times New Roman" w:eastAsia="Times New Roman"/>
          <w:b w:val="0"/>
          <w:i w:val="0"/>
          <w:sz w:val="22"/>
        </w:rPr>
        <w:t xml:space="preserve"> (YAML): Define the action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skill;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skill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Strategy diversity measures the evenness of action distributions across agent populations using normalized Shannon entropy: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skill distributions pooled across seeds, which provide adequate power given the large number of agent-decisions per condition (3,000 for flood, 9,828 for irrigation). To decompose the governance contribution, we computed CACR on proposed skills (pre-governance) and final skills (post-governance), yielding a governance value-add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92, 27–46 (2017).</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Gao, C.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et al. The safe development paradox: an agent-based model for flood risk under climate change in the European Union. Glob. Environ. Change 44, 145–155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C.-L. J.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