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Strategy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2015),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(Guo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strategy diversity, establishing that governance channels diversity toward adaptive patterns rather than merely expanding the action space. Governed agents also produced higher strategy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strategy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equilibrium demand level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strategy diversity across four conditions (irrigation domain, Gemma-3 4B, 78 agents × 42 years, 3 runs each).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Strategy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Strategy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see Methods for relationship to IBR used in the flood domain). A1 removes the demand-ceiling stabilizer only (see next section). FQL uses the same reservoir model and governance validators but replaces natural-language reasoning with a Q-learning decision kernel (2-action: increase/decrease); strategy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strategy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strategy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strategy diversity than both ungoverned agents and a hand-coded Protection Motivation Theory baseline across both water domains. In irrigation, governed strategy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strategy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actions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Strategy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Strategy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strategy diversity for five of six models, with three statistically significant (Table 3).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strategy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normalized Shannon entropy H/log₂(k), where k is the number of available actions (0 = monoculture; 1 = uniform distribution). Delta = governed minus ungoverned; mean ± s.d. over 3 runs. 95% CIs from Welch t-distribution. Post-relocation agent-years excluded. Full IBR decomposition in Supplementary Table 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strategy diversity. Because both domains use the same governance architecture with domain-specific rule configurations rather than redesigned decision logic, the framework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Action distribution showing ungoverned collapse into demand increases and FQL dominance of validator-blocked maintain. (d) Strategy diversity versus demand–Mead coupling (Pearson r): governed agents occupy the adaptive-diversity quadrant (high diversity, strong coupling); A1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Flood-adaptation trajectories across agent types</w:t>
      </w:r>
      <w:r>
        <w:rPr>
          <w:rFonts w:ascii="Times New Roman" w:hAnsi="Times New Roman" w:eastAsia="Times New Roman"/>
          <w:b w:val="0"/>
          <w:i w:val="0"/>
          <w:sz w:val="18"/>
        </w:rPr>
        <w:t xml:space="preserve"> (100 agents × 10 years). Bars show 3-seed means.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governance pipeline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action registries); transferability refers to the governance architecture, not the configuration effort.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pipeline, and a simulation engine. At each decision step, the framework assembles the information available to the agent — personal state variables, social observations from network neighbours, and system-level indicators (drought indices, flood forecasts, institutional announcements) — bounded to what the agent's role and location would permit access to. The agent produces a structured JSON output comprising a proposed action, natural-language reasoning, and psychological construct labels where applicable. The governance pipeline then evaluates this proposal through a six-step validation sequence: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Action legality</w:t>
      </w:r>
      <w:r>
        <w:rPr>
          <w:rFonts w:ascii="Times New Roman" w:hAnsi="Times New Roman" w:eastAsia="Times New Roman"/>
          <w:b w:val="0"/>
          <w:i w:val="0"/>
          <w:sz w:val="22"/>
        </w:rPr>
        <w:t>: Verifies the proposed action belongs to the agent's type-specific action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 doctrine,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governance pipeline returns a structured explanation identifying the violated rule. The agent receives this feedback and may revise its proposal (up to three attempts). If the same rule blocks consecutive attempts, the revision cycle terminates and a domain-appropriate default action (typically "do nothing") executes, ensuring simulation advancement. Failed proposals, revision attempts, and governance explanations are recorded in structured decision logs for post-hoc analysis.</w:t>
      </w:r>
    </w:p>
    <w:p>
      <w:pPr>
        <w:spacing w:after="0" w:before="0" w:line="480" w:lineRule="auto"/>
        <w:ind w:firstLine="432"/>
        <w:jc w:val="both"/>
      </w:pPr>
      <w:r>
        <w:rPr>
          <w:rFonts w:ascii="Times New Roman" w:hAnsi="Times New Roman" w:eastAsia="Times New Roman"/>
          <w:b w:val="0"/>
          <w:i w:val="0"/>
          <w:sz w:val="22"/>
        </w:rPr>
        <w:t>The governance architecture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Action registries</w:t>
      </w:r>
      <w:r>
        <w:rPr>
          <w:rFonts w:ascii="Times New Roman" w:hAnsi="Times New Roman" w:eastAsia="Times New Roman"/>
          <w:b w:val="0"/>
          <w:i w:val="0"/>
          <w:sz w:val="22"/>
        </w:rPr>
        <w:t xml:space="preserve"> (YAML): Define the decision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actions define the decision vocabulary: increase demand (large or small), decrease demand (large or small), and maintain demand. Each action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action;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action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Shortage tiers reduce all agents' fulfilled diversions by the tier percentage — a simplification of the seniority-based curtailment sequence used in actual Colorado River operations, where junior rights are curtailed before senior rights. Upper Basin diversions are additionally constrained by a minimum Powell release of 7.0 MAF/yr and infrastructure capacity of 5.0 MAF/yr, with proportional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actions are available: purchase flood insurance, elevate home, relocate, or do nothing. The elevation action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strategy diversity is measured from each agent's annual action selection — the decision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strategy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action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Strategy diversity measures the evenness of action distributions across agent populations using normalized Shannon entropy: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strategy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strategy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action distributions pooled across seeds, which provide adequate power given the large number of agent-decisions per condition (3,000 for flood, 9,828 for irrigation). To decompose the governance contribution, we computed CACR on proposed actions (pre-validation) and final actions (post-validation), yielding a governance improvement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73, 305–323 (2015).</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Guo, T.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Botzen, W. J. W., de Moel, H. &amp; Aerts, J. C. J. H. Integrating household risk mitigation behavior in flood risk analysis: an agent-based model approach. Risk Anal. 37, 1977–1992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F.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p>
      <w:pPr>
        <w:spacing w:after="120" w:before="360" w:line="480" w:lineRule="auto"/>
        <w:jc w:val="left"/>
      </w:pPr>
      <w:r>
        <w:rPr>
          <w:rFonts w:ascii="Times New Roman" w:hAnsi="Times New Roman" w:eastAsia="Times New Roman"/>
          <w:b/>
          <w:i w:val="0"/>
          <w:sz w:val="24"/>
        </w:rPr>
        <w:t>Data Availability</w:t>
      </w:r>
    </w:p>
    <w:p>
      <w:pPr>
        <w:spacing w:after="0" w:before="0" w:line="480" w:lineRule="auto"/>
        <w:jc w:val="both"/>
      </w:pPr>
      <w:r>
        <w:rPr>
          <w:rFonts w:ascii="Times New Roman" w:hAnsi="Times New Roman" w:eastAsia="Times New Roman"/>
          <w:b w:val="0"/>
          <w:i w:val="0"/>
          <w:sz w:val="22"/>
        </w:rPr>
        <w:t>All simulation output data, agent decision traces, and governance audit logs generated in this study are available at [repository URL to be added upon acceptance]. Raw CRSS demand data for the irrigation domain are publicly available from the US Bureau of Reclamation (https://www.usbr.gov/lc/region/g4000/NaturalFlow/). Flood depth grids were generated from publicly available FEMA flood maps. Census-tract demographic profiles were derived from the US Census Bureau American Community Survey.</w:t>
      </w:r>
    </w:p>
    <w:p>
      <w:pPr>
        <w:spacing w:after="120" w:before="360" w:line="480" w:lineRule="auto"/>
        <w:jc w:val="left"/>
      </w:pPr>
      <w:r>
        <w:rPr>
          <w:rFonts w:ascii="Times New Roman" w:hAnsi="Times New Roman" w:eastAsia="Times New Roman"/>
          <w:b/>
          <w:i w:val="0"/>
          <w:sz w:val="24"/>
        </w:rPr>
        <w:t>Code Availability</w:t>
      </w:r>
    </w:p>
    <w:p>
      <w:pPr>
        <w:spacing w:after="0" w:before="0" w:line="480" w:lineRule="auto"/>
        <w:jc w:val="both"/>
      </w:pPr>
      <w:r>
        <w:rPr>
          <w:rFonts w:ascii="Times New Roman" w:hAnsi="Times New Roman" w:eastAsia="Times New Roman"/>
          <w:b w:val="0"/>
          <w:i w:val="0"/>
          <w:sz w:val="22"/>
        </w:rPr>
        <w:t>The Water Agent Governance Framework (WAGF) source code, including the broker architecture, governance validators, configuration files for both domains, and all analysis scripts used to generate the figures and tables in this paper, is available at [repository URL to be added upon acceptance] under an MIT licence. Experiments were run using Ollama (v0.5.x) with open-weight models (Gemma-3 and Ministral families); no proprietary APIs were required.</w:t>
      </w:r>
    </w:p>
    <w:p>
      <w:pPr>
        <w:spacing w:after="120" w:before="360" w:line="480" w:lineRule="auto"/>
        <w:jc w:val="left"/>
      </w:pPr>
      <w:r>
        <w:rPr>
          <w:rFonts w:ascii="Times New Roman" w:hAnsi="Times New Roman" w:eastAsia="Times New Roman"/>
          <w:b/>
          <w:i w:val="0"/>
          <w:sz w:val="24"/>
        </w:rPr>
        <w:t>Author Contributions</w:t>
      </w:r>
    </w:p>
    <w:p>
      <w:pPr>
        <w:spacing w:after="0" w:before="0" w:line="480" w:lineRule="auto"/>
        <w:jc w:val="both"/>
      </w:pPr>
      <w:r>
        <w:rPr>
          <w:rFonts w:ascii="Times New Roman" w:hAnsi="Times New Roman" w:eastAsia="Times New Roman"/>
          <w:b w:val="0"/>
          <w:i w:val="0"/>
          <w:sz w:val="22"/>
        </w:rPr>
        <w:t>W.Y.: Conceptualization, Methodology, Software, Validation, Formal Analysis, Investigation, Data Curation, Writing — Original Draft, Visualization. [Additional authors TBD]: Supervision, Writing — Review &amp; Editing, Funding Acquisition.</w:t>
      </w:r>
    </w:p>
    <w:p>
      <w:pPr>
        <w:spacing w:after="120" w:before="360" w:line="480" w:lineRule="auto"/>
        <w:jc w:val="left"/>
      </w:pPr>
      <w:r>
        <w:rPr>
          <w:rFonts w:ascii="Times New Roman" w:hAnsi="Times New Roman" w:eastAsia="Times New Roman"/>
          <w:b/>
          <w:i w:val="0"/>
          <w:sz w:val="24"/>
        </w:rPr>
        <w:t>Competing Interests</w:t>
      </w:r>
    </w:p>
    <w:p>
      <w:pPr>
        <w:spacing w:after="0" w:before="0" w:line="480" w:lineRule="auto"/>
        <w:jc w:val="both"/>
      </w:pPr>
      <w:r>
        <w:rPr>
          <w:rFonts w:ascii="Times New Roman" w:hAnsi="Times New Roman" w:eastAsia="Times New Roman"/>
          <w:b w:val="0"/>
          <w:i w:val="0"/>
          <w:sz w:val="22"/>
        </w:rPr>
        <w:t>The authors declare no competing interests.</w:t>
      </w:r>
    </w:p>
    <w:p>
      <w:pPr>
        <w:spacing w:after="120" w:before="360" w:line="480" w:lineRule="auto"/>
        <w:jc w:val="left"/>
      </w:pPr>
      <w:r>
        <w:rPr>
          <w:rFonts w:ascii="Times New Roman" w:hAnsi="Times New Roman" w:eastAsia="Times New Roman"/>
          <w:b/>
          <w:i w:val="0"/>
          <w:sz w:val="24"/>
        </w:rPr>
        <w:t>Acknowledgements</w:t>
      </w:r>
    </w:p>
    <w:p>
      <w:pPr>
        <w:spacing w:after="0" w:before="0" w:line="480" w:lineRule="auto"/>
        <w:jc w:val="both"/>
      </w:pPr>
      <w:r>
        <w:rPr>
          <w:rFonts w:ascii="Times New Roman" w:hAnsi="Times New Roman" w:eastAsia="Times New Roman"/>
          <w:b w:val="0"/>
          <w:i w:val="0"/>
          <w:sz w:val="22"/>
        </w:rPr>
        <w:t>[To be added — funding sources, computational resources, etc.]</w:t>
      </w:r>
    </w:p>
    <w:sectPr w:rsidR="00FC693F" w:rsidRPr="0006063C" w:rsidSect="00034616">
      <w:footerReference w:type="default" r:id="rId11"/>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