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rPr>
          <ns0:rFonts ns0:eastAsia="Times New Roman"/>
        </ns0:rP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r>
        <ns0:rPr>
          <ns0:rFonts ns0:eastAsia="Times New Roman"/>
        </ns0:rPr>
      </ns0:r>
      <ns0:del ns0:id="12" ns0:author="Claude" ns0:date="2026-02-01T14:59:00Z" ns3:dateUtc="2026-02-01T14:59:18Z">
        <ns0:r ns0:rsidR="00000000" ns0:rsidDel="1937EF80">
          <ns0:rPr>
            <ns0:rFonts ns0:eastAsia="Times New Roman"/>
          </ns0:rPr>
          <ns0:delText>a 8.3%</ns0:delText>
        </ns0:r>
      </ns0:del>
      <ns0:ins ns0:id="13" ns0:author="Claude" ns0:date="2026-02-01T14:59:00Z" ns3:dateUtc="2026-02-01T14:59:18Z">
        <ns0:r>
          <ns0:rPr>
            <ns0:rFonts ns0:eastAsia="Times New Roman"/>
          </ns0:rPr>
          <ns0:t>a 28.1%</ns0:t>
        </ns0:r>
      </ns0:ins>
      <ns0:r>
        <ns0:rPr>
          <ns0:rFonts ns0:eastAsia="Times New Roman"/>
        </ns0:rPr>
      </ns0:r>
      <ns0:del ns0:id="14" ns0:author="Claude" ns0:date="2026-02-01T14:59:00Z" ns3:dateUtc="2026-02-01T14:59:18Z">
        <ns0:r ns0:rsidR="00000000" ns0:rsidDel="1937EF80">
          <ns0:rPr>
            <ns0:rFonts ns0:eastAsia="Times New Roman"/>
          </ns0:rPr>
          <ns0:delText>1.7%</ns0:delText>
        </ns0:r>
      </ns0:del>
      <ns0:ins ns0:id="15" ns0:author="Claude" ns0:date="2026-02-01T14:59:00Z" ns3:dateUtc="2026-02-01T14:59:18Z">
        <ns0:del ns0:id="16" ns0:author="Claude" ns0:date="2026-02-05T00:00:00Z">
          <ns0:r>
            <ns0:rPr>
              <ns0:rFonts ns0:eastAsia="Times New Roman"/>
            </ns0:rPr>
            <ns0:delText>1.0%</ns0:delText>
          </ns0:r>
        </ns0:del>
      </ns0:ins>
      <ns0:ins ns0:id="17" ns0:author="Claude" ns0:date="2026-02-05T00:00:00Z">
        <ns0:r ns0:rsidR="00000000">
          <ns0:t>1.0%</ns0:t>
        </ns0:r>
      </ns0:ins>
      <ns0:r>
        <ns0:rPr>
          <ns0:rFonts ns0:eastAsia="Times New Roman"/>
        </ns0:rPr>
      </ns0:r>
      <ns0:del ns0:id="18" ns0:author="Claude" ns0:date="2026-02-01T14:59:00Z" ns3:dateUtc="2026-02-01T14:59:18Z">
        <ns0:r ns0:rsidR="00000000" ns0:rsidDel="1937EF80">
          <ns0:rPr>
            <ns0:rFonts ns0:eastAsia="Times New Roman"/>
          </ns0:rPr>
          <ns0:delText>EBE 23% higher</ns0:delText>
        </ns0:r>
      </ns0:del>
      <ns0:ins ns0:id="19" ns0:author="Claude" ns0:date="2026-02-01T14:59:00Z" ns3:dateUtc="2026-02-01T14:59:18Z">
        <ns0:r>
          <ns0:rPr>
            <ns0:rFonts ns0:eastAsia="Times New Roman"/>
          </ns0:rPr>
          <ns0:t>EBE 27% higher</ns0:t>
        </ns0:r>
      </ns0:ins>
      <ns0:r>
        <ns0:rPr>
          <ns0:rFonts ns0:eastAsia="Times New Roman"/>
        </ns0:rPr>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operationalize behavioral theory through predefined rules and utility assumptions, which improves interpretability but constrains behavioral richness (Filatova et al., 2013; Berglund, 2015). Large language models (LLMs) offer a different path: agents that generate context-sensitive decisions through natural-language reasoning and can better approximate believable human heterogeneity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problem. Unconstrained LLM agents can produce physically impossible actions (behavioral hallucination), economically incoherent actions, and unstable action asymmetries that are difficult to diagnose from prompts alone (Ji et al., 2023). In water ABMs, this includes re-adopting already completed measures, violating legal allocation limits, or repeatedly selecting extreme actions under incompatible state conditions. Because LLM decision pathways are partially opaque, these failures are hard to audit and can inflate apparent behavioral diversity if validity is not explicitly checked.</ns0:t>
      </ns0:r>
    </ns0:p>
    <ns0:p ns2:paraId="160515C1" ns2:textId="77777777" ns0:rsidR="00F803C3" ns0:rsidRDefault="00000000">
      <ns0:pPr>
        <ns0:spacing ns0:after="120" ns0:line="480" ns0:lineRule="auto"/>
        <ns0:ind ns0:firstLine="360"/>
        <ns0:jc ns0:val="both"/>
      </ns0:pPr>
      <ns0:r>
        <ns0:t xml:space="preserve">We address this gap with three contributions. First, we present WAGF (Water Agent Governance Framework), an open-source governance framework for LLM-driven ABM that mediates between agent reasoning and simulation execution. WAGF combines a rule-based validator chain, skill-level action contracts and proposal checks, retry-with-feedback control, and structured audit logging. Second, we introduce Effective Behavioral Entropy (EBE) to separate genuine decision diversity from hallucination-inflated diversity. Third, we demonstrate configuration-level transfer across two domains, household flood adaptation (100 agents, 10 years) and Colorado River irrigation management (78 districts, 42 years), showing that governance can enforce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Three-Pillar Design</ns0:t>
      </ns0:r>
    </ns0:p>
    <ns0:p ns2:paraId="04EC5DDC" ns2:textId="77777777" ns0:rsidR="00F803C3" ns0:rsidRDefault="00000000">
      <ns0:pPr>
        <ns0:spacing ns0:after="120" ns0:line="480" ns0:lineRule="auto"/>
        <ns0:ind ns0:firstLine="360"/>
        <ns0:jc ns0:val="both"/>
      </ns0:pPr>
      <ns0:r>
        <ns0:rPr>
          <ns0:rFonts ns0:eastAsia="Times New Roman"/>
        </ns0:rPr>
        <ns0:t>WAGF operates as a middleware layer between LLM agents and the simulation engine, following a strict separation of concerns: the LLM makes decisions, WAGF validates them, and the simulation engine executes approved actions (Figure 1). This design ensures that the governance layer never generates decisions or mutates simulation state directly.</ns0:t>
      </ns0:r>
    </ns0:p>
    <ns0:p ns2:paraId="7AD963E9" ns2:textId="77777777" ns0:rsidR="00F803C3" ns0:rsidRDefault="00000000">
      <ns0:pPr>
        <ns0:spacing ns0:after="120" ns0:line="480" ns0:lineRule="auto"/>
        <ns0:ind ns0:firstLine="360"/>
        <ns0:jc ns0:val="both"/>
      </ns0:pPr>
      <ns0:r>
        <ns0:rPr>
          <ns0:rFonts ns0:eastAsia="Times New Roman"/>
        </ns0:rPr>
        <ns0:t xml:space="preserve">The first pillar, </ns0:t>
      </ns0:r>
      <ns0:r>
        <ns0:rPr>
          <ns0:rFonts ns0:eastAsia="Times New Roman"/>
          <ns0:b/>
          <ns0:bCs/>
        </ns0:rPr>
        <ns0:t>governance</ns0:t>
      </ns0:r>
      <ns0:r>
        <ns0:rPr>
          <ns0:rFonts ns0:eastAsia="Times New Roman"/>
        </ns0:rPr>
        <ns0:t>,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WAGF re-prompts the LLM with the rejection reason, allowing the agent to revise its decision (up to three retries). This approach draws on constitutional AI principles (Bai et al., 2022), applying rule-based constraints rather than learned reward signals.</ns0:t>
      </ns0:r>
    </ns0:p>
    <ns0:p ns2:paraId="00DADB2F" ns2:textId="77777777" ns0:rsidR="00F803C3" ns0:rsidRDefault="00000000">
      <ns0:pPr>
        <ns0:spacing ns0:after="120" ns0:line="480" ns0:lineRule="auto"/>
        <ns0:ind ns0:firstLine="360"/>
        <ns0:jc ns0:val="both"/>
      </ns0:pPr>
      <ns0:r>
        <ns0:rPr>
          <ns0:rFonts ns0:eastAsia="Times New Roman"/>
        </ns0:rPr>
        <ns0:t xml:space="preserve">The second pillar, </ns0:t>
      </ns0:r>
      <ns0:r>
        <ns0:rPr>
          <ns0:rFonts ns0:eastAsia="Times New Roman"/>
          <ns0:b/>
          <ns0:bCs/>
        </ns0:rPr>
        <ns0:t>cognitive memory</ns0:t>
      </ns0:r>
      <ns0:r>
        <ns0:rPr>
          <ns0:rFonts ns0:eastAsia="Times New Roman"/>
        </ns0:rPr>
        <ns0:t xml:space="preserve">, provides agents with structured access to their decision history. WAGF supports multiple memory engines: a sliding-window engine that maintains recent events (Group B baseline), and a human-centric engine that encodes episodic memories with emotional arousal weights and applies stochastic consolidation and decay </ns0:t>
      </ns0:r>
      <ns0:r>
        <ns0:rPr>
          <ns0:rFonts ns0:eastAsia="Times New Roman"/>
        </ns0:rPr>
        <ns0:lastRenderedPageBreak/>
        <ns0:t>(Group C). Memory content is injected into the LLM prompt as contextual background, enabling agents to learn from experience without requiring fine-tuning.</ns0:t>
      </ns0:r>
    </ns0:p>
    <ns0:p ns2:paraId="67173F29" ns2:textId="77777777" ns0:rsidR="00F803C3" ns0:rsidRDefault="00000000">
      <ns0:pPr>
        <ns0:spacing ns0:after="120" ns0:line="480" ns0:lineRule="auto"/>
        <ns0:ind ns0:firstLine="360"/>
        <ns0:jc ns0:val="both"/>
      </ns0:pPr>
      <ns0:r>
        <ns0:rPr>
          <ns0:rFonts ns0:eastAsia="Times New Roman"/>
        </ns0:rPr>
        <ns0:t xml:space="preserve">The third pillar, </ns0:t>
      </ns0:r>
      <ns0:r>
        <ns0:rPr>
          <ns0:rFonts ns0:eastAsia="Times New Roman"/>
          <ns0:b/>
          <ns0:bCs/>
        </ns0:rPr>
        <ns0:t>priority context</ns0:t>
      </ns0:r>
      <ns0:r>
        <ns0:rPr>
          <ns0:rFonts ns0:eastAsia="Times New Roman"/>
        </ns0:rPr>
        <ns0:t>,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ns0:t>
      </ns0:r>
    </ns0:p>
    <ns0:p ns2:paraId="01DF04BB" ns2:textId="77777777" ns0:rsidR="00F803C3" ns0:rsidRDefault="00000000">
      <ns0:pPr>
        <ns0:pStyle ns0:val="2"/>
        <ns0:spacing ns0:line="480" ns0:lineRule="auto"/>
      </ns0:pPr>
      <ns0:r>
        <ns0:t>2.2 Skill Registry and Validator Chain</ns0:t>
      </ns0:r>
    </ns0:p>
    <ns0:p ns2:paraId="63C52A09" ns2:textId="77777777" ns0:rsidR="00F803C3" ns0:rsidRDefault="00000000">
      <ns0:pPr>
        <ns0:spacing ns0:after="120" ns0:line="480" ns0:lineRule="auto"/>
        <ns0:ind ns0:firstLine="360"/>
        <ns0:jc ns0:val="both"/>
      </ns0:pPr>
      <ns0:r>
        <ns0:rPr>
          <ns0:rFonts ns0:eastAsia="Times New Roman"/>
        </ns0:rPr>
        <ns0:t>WAGF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rPr>
          <ns0:rFonts ns0:eastAsia="Times New Roman"/>
        </ns0:rPr>
        <ns0:t>WAGF is domain-agnostic: the same engine serves both flood adaptation and irrigation management (Table 1). Domain specificity is achieved entirely through configuration—skill definitions, validator rules, and prompt templates—without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