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480"/>
        <w:jc w:val="center"/>
      </w:pPr>
      <w:r>
        <w:rPr>
          <w:rFonts w:ascii="Times New Roman" w:cs="Times New Roman" w:eastAsia="Times New Roman" w:hAnsi="Times New Roman"/>
          <w:b/>
          <w:bCs/>
          <w:sz w:val="32"/>
          <w:szCs w:val="32"/>
        </w:rPr>
        <w:t xml:space="preserve">SAGE: A Governance Middleware for LLM-Driven Agent-Based Models of Human–Water Systems</w:t>
      </w:r>
    </w:p>
    <w:p>
      <w:pPr>
        <w:spacing w:after="60" w:line="480"/>
        <w:jc w:val="center"/>
      </w:pPr>
      <w:r>
        <w:rPr>
          <w:rFonts w:ascii="Times New Roman" w:cs="Times New Roman" w:eastAsia="Times New Roman" w:hAnsi="Times New Roman"/>
          <w:sz w:val="24"/>
          <w:szCs w:val="24"/>
        </w:rPr>
        <w:t xml:space="preserve">Wen-Yu Chen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Second Author</w:t>
      </w:r>
      <w:r>
        <w:rPr>
          <w:rFonts w:ascii="Times New Roman" w:cs="Times New Roman" w:eastAsia="Times New Roman" w:hAnsi="Times New Roman"/>
          <w:sz w:val="24"/>
          <w:szCs w:val="24"/>
          <w:vertAlign w:val="superscript"/>
        </w:rPr>
        <w:t xml:space="preserve">1</w:t>
      </w:r>
    </w:p>
    <w:p>
      <w:pPr>
        <w:spacing w:after="240" w:line="480"/>
        <w:jc w:val="center"/>
      </w:pP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i/>
          <w:iCs/>
          <w:sz w:val="22"/>
          <w:szCs w:val="22"/>
        </w:rPr>
        <w:t xml:space="preserve">Department of Civil and Environmental Engineering, Lehigh University, Bethlehem, PA, USA</w:t>
      </w:r>
    </w:p>
    <w:p>
      <w:pPr>
        <w:spacing w:after="360" w:line="480"/>
        <w:jc w:val="center"/>
      </w:pPr>
      <w:r>
        <w:rPr>
          <w:rFonts w:ascii="Times New Roman" w:cs="Times New Roman" w:eastAsia="Times New Roman" w:hAnsi="Times New Roman"/>
          <w:sz w:val="22"/>
          <w:szCs w:val="22"/>
        </w:rPr>
        <w:t xml:space="preserve">Corresponding author: Wen-Yu Chen (wec225@lehigh.edu)</w:t>
      </w:r>
    </w:p>
    <w:p>
      <w:pPr>
        <w:pStyle w:val="Heading1"/>
        <w:spacing w:before="360" w:after="240" w:line="480"/>
      </w:pPr>
      <w:r>
        <w:rPr>
          <w:rFonts w:ascii="Times New Roman" w:cs="Times New Roman" w:eastAsia="Times New Roman" w:hAnsi="Times New Roman"/>
          <w:b/>
          <w:bCs/>
          <w:sz w:val="28"/>
          <w:szCs w:val="28"/>
        </w:rPr>
        <w:t xml:space="preserve">Key Points</w:t>
      </w:r>
    </w:p>
    <w:p>
      <w:pPr>
        <w:pStyle w:val="ListParagraph"/>
        <w:numPr>
          <w:ilvl w:val="0"/>
          <w:numId w:val="2"/>
        </w:numPr>
        <w:spacing w:line="480"/>
      </w:pPr>
      <w:r>
        <w:rPr>
          <w:rFonts w:ascii="Times New Roman" w:cs="Times New Roman" w:eastAsia="Times New Roman" w:hAnsi="Times New Roman"/>
          <w:sz w:val="24"/>
          <w:szCs w:val="24"/>
        </w:rPr>
        <w:t xml:space="preserve">SAGE eliminates 33% hallucination rate in ungoverned LLM agents while preserving genuine behavioral diversity</w:t>
      </w:r>
    </w:p>
    <w:p>
      <w:pPr>
        <w:pStyle w:val="ListParagraph"/>
        <w:numPr>
          <w:ilvl w:val="0"/>
          <w:numId w:val="2"/>
        </w:numPr>
        <w:spacing w:line="480"/>
      </w:pPr>
      <w:r>
        <w:rPr>
          <w:rFonts w:ascii="Times New Roman" w:cs="Times New Roman" w:eastAsia="Times New Roman" w:hAnsi="Times New Roman"/>
          <w:sz w:val="24"/>
          <w:szCs w:val="24"/>
        </w:rPr>
        <w:t xml:space="preserve">Effective Behavioral Entropy (EBE) metric separates true decision diversity from hallucination-inflated entropy</w:t>
      </w:r>
    </w:p>
    <w:p>
      <w:pPr>
        <w:pStyle w:val="ListParagraph"/>
        <w:numPr>
          <w:ilvl w:val="0"/>
          <w:numId w:val="2"/>
        </w:numPr>
        <w:spacing w:line="480" w:after="240"/>
      </w:pPr>
      <w:r>
        <w:rPr>
          <w:rFonts w:ascii="Times New Roman" w:cs="Times New Roman" w:eastAsia="Times New Roman" w:hAnsi="Times New Roman"/>
          <w:sz w:val="24"/>
          <w:szCs w:val="24"/>
        </w:rPr>
        <w:t xml:space="preserve">Governance middleware transfers across domains: flood adaptation (100 agents, 10 yr) and irrigation (78 agents, 42 yr)</w:t>
      </w:r>
    </w:p>
    <w:p>
      <w:pPr>
        <w:pStyle w:val="Heading1"/>
        <w:spacing w:before="360" w:after="240" w:line="480"/>
      </w:pPr>
      <w:r>
        <w:rPr>
          <w:rFonts w:ascii="Times New Roman" w:cs="Times New Roman" w:eastAsia="Times New Roman" w:hAnsi="Times New Roman"/>
          <w:b/>
          <w:bCs/>
          <w:sz w:val="28"/>
          <w:szCs w:val="28"/>
        </w:rPr>
        <w:t xml:space="preserve">Abstract</w:t>
      </w:r>
    </w:p>
    <w:p>
      <w:pPr>
        <w:spacing w:line="480" w:after="120"/>
        <w:jc w:val="left"/>
      </w:pPr>
      <w:r>
        <w:rPr>
          <w:rFonts w:ascii="Times New Roman" w:cs="Times New Roman" w:eastAsia="Times New Roman" w:hAnsi="Times New Roman"/>
          <w:sz w:val="24"/>
          <w:szCs w:val="24"/>
        </w:rPr>
        <w:t xml:space="preserve">Large language models (LLMs) offer a promising path toward cognitively realistic agent-based models (ABMs) for water resources planning, but unconstrained LLM agents produce physically impossible decisions—a phenomenon we term </w:t>
      </w:r>
      <w:r>
        <w:rPr>
          <w:rFonts w:ascii="Times New Roman" w:cs="Times New Roman" w:eastAsia="Times New Roman" w:hAnsi="Times New Roman"/>
          <w:i/>
          <w:iCs/>
          <w:sz w:val="24"/>
          <w:szCs w:val="24"/>
        </w:rPr>
        <w:t xml:space="preserve">behavioral hallucination</w:t>
      </w:r>
      <w:r>
        <w:rPr>
          <w:rFonts w:ascii="Times New Roman" w:cs="Times New Roman" w:eastAsia="Times New Roman" w:hAnsi="Times New Roman"/>
          <w:sz w:val="24"/>
          <w:szCs w:val="24"/>
        </w:rPr>
        <w:t xml:space="preserve">. We present SAGE (Structured Agent Governance Engine), an open-source middleware that enforces domain-specific physical and institutional constraints on LLM-driven agents while preserving emergent behavioral diversity. SAGE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 (1 − 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which disentangles genuine decision diversity from hallucination-inflated entropy. In a flood adaptation case study (100 agents, 10 years, 7 LLM configurations), ungoverned agents exhibit a 33% hallucination rate; SAGE-governed agents reduce this to &lt;2% while maintaining EBE 32% higher. We demonstrate domain transferability through a Colorado River irrigation case study (78 districts, 42 years). The framework, metrics, and experiment code are available at [GitHub URL].</w:t>
      </w:r>
    </w:p>
    <w:p>
      <w:pPr>
        <w:pStyle w:val="Heading1"/>
        <w:spacing w:before="360" w:after="240" w:line="480"/>
      </w:pPr>
      <w:r>
        <w:rPr>
          <w:rFonts w:ascii="Times New Roman" w:cs="Times New Roman" w:eastAsia="Times New Roman" w:hAnsi="Times New Roman"/>
          <w:b/>
          <w:bCs/>
          <w:sz w:val="28"/>
          <w:szCs w:val="28"/>
        </w:rPr>
        <w:t xml:space="preserve">Plain Language Summary</w:t>
      </w:r>
    </w:p>
    <w:p>
      <w:pPr>
        <w:spacing w:line="480" w:after="120"/>
        <w:jc w:val="left"/>
      </w:pPr>
      <w:r>
        <w:rPr>
          <w:rFonts w:ascii="Times New Roman" w:cs="Times New Roman" w:eastAsia="Times New Roman" w:hAnsi="Times New Roman"/>
          <w:sz w:val="24"/>
          <w:szCs w:val="24"/>
        </w:rPr>
        <w:t xml:space="preserve">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SAGE,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r>
        <w:br w:type="page"/>
      </w:r>
    </w:p>
    <w:p>
      <w:pPr>
        <w:pStyle w:val="Heading1"/>
        <w:spacing w:before="360" w:after="240" w:line="480"/>
      </w:pPr>
      <w:r>
        <w:rPr>
          <w:rFonts w:ascii="Times New Roman" w:cs="Times New Roman" w:eastAsia="Times New Roman" w:hAnsi="Times New Roman"/>
          <w:b/>
          <w:bCs/>
          <w:sz w:val="28"/>
          <w:szCs w:val="28"/>
        </w:rPr>
        <w:t xml:space="preserve">1. Introduction</w:t>
      </w:r>
    </w:p>
    <w:p>
      <w:pPr>
        <w:spacing w:line="480" w:after="60"/>
      </w:pPr>
      <w:r>
        <w:rPr>
          <w:rFonts w:ascii="Times New Roman" w:cs="Times New Roman" w:eastAsia="Times New Roman" w:hAnsi="Times New Roman"/>
          <w:i/>
          <w:iCs/>
          <w:color w:val="888888"/>
          <w:sz w:val="24"/>
          <w:szCs w:val="24"/>
        </w:rPr>
        <w:t xml:space="preserve">[~800 words. Para 1: LLMs in ABMs — promise (Park et al., 2023; Gao et al., 2024; Boiko et al., 2023). Para 2: Hallucination problem (Ji et al., 2023; Shumailov et al., 2024). Para 3: Gap + 3 contributions.]</w:t>
      </w:r>
    </w:p>
    <w:p>
      <w:pPr>
        <w:pStyle w:val="Heading1"/>
        <w:spacing w:before="360" w:after="240" w:line="480"/>
      </w:pPr>
      <w:r>
        <w:rPr>
          <w:rFonts w:ascii="Times New Roman" w:cs="Times New Roman" w:eastAsia="Times New Roman" w:hAnsi="Times New Roman"/>
          <w:b/>
          <w:bCs/>
          <w:sz w:val="28"/>
          <w:szCs w:val="28"/>
        </w:rPr>
        <w:t xml:space="preserve">2. SAGE Architecture</w:t>
      </w:r>
    </w:p>
    <w:p>
      <w:pPr>
        <w:pStyle w:val="Heading2"/>
        <w:spacing w:before="240" w:after="120" w:line="480"/>
      </w:pPr>
      <w:r>
        <w:rPr>
          <w:rFonts w:ascii="Times New Roman" w:cs="Times New Roman" w:eastAsia="Times New Roman" w:hAnsi="Times New Roman"/>
          <w:b/>
          <w:bCs/>
          <w:sz w:val="26"/>
          <w:szCs w:val="26"/>
        </w:rPr>
        <w:t xml:space="preserve">2.1 Three-Pillar Design</w:t>
      </w:r>
    </w:p>
    <w:p>
      <w:pPr>
        <w:spacing w:line="480" w:after="60"/>
      </w:pPr>
      <w:r>
        <w:rPr>
          <w:rFonts w:ascii="Times New Roman" w:cs="Times New Roman" w:eastAsia="Times New Roman" w:hAnsi="Times New Roman"/>
          <w:i/>
          <w:iCs/>
          <w:color w:val="888888"/>
          <w:sz w:val="24"/>
          <w:szCs w:val="24"/>
        </w:rPr>
        <w:t xml:space="preserve">[Pillar 1: Governance (rule-based validator chain). Pillar 2: Cognitive Memory. Pillar 3: Priority Context Builder. Reference Figure 1.]</w:t>
      </w:r>
    </w:p>
    <w:p>
      <w:pPr>
        <w:pStyle w:val="Heading2"/>
        <w:spacing w:before="240" w:after="120" w:line="480"/>
      </w:pPr>
      <w:r>
        <w:rPr>
          <w:rFonts w:ascii="Times New Roman" w:cs="Times New Roman" w:eastAsia="Times New Roman" w:hAnsi="Times New Roman"/>
          <w:b/>
          <w:bCs/>
          <w:sz w:val="26"/>
          <w:szCs w:val="26"/>
        </w:rPr>
        <w:t xml:space="preserve">2.2 Skill Registry and Validator Chain</w:t>
      </w:r>
    </w:p>
    <w:p>
      <w:pPr>
        <w:spacing w:line="480" w:after="60"/>
      </w:pPr>
      <w:r>
        <w:rPr>
          <w:rFonts w:ascii="Times New Roman" w:cs="Times New Roman" w:eastAsia="Times New Roman" w:hAnsi="Times New Roman"/>
          <w:i/>
          <w:iCs/>
          <w:color w:val="888888"/>
          <w:sz w:val="24"/>
          <w:szCs w:val="24"/>
        </w:rPr>
        <w:t xml:space="preserve">[Skills: named actions with pre/post conditions. SkillBrokerEngine pipeline. Retry logic. Audit trail. Reference Figure 2.]</w:t>
      </w:r>
    </w:p>
    <w:p>
      <w:pPr>
        <w:pStyle w:val="Heading2"/>
        <w:spacing w:before="240" w:after="120" w:line="480"/>
      </w:pPr>
      <w:r>
        <w:rPr>
          <w:rFonts w:ascii="Times New Roman" w:cs="Times New Roman" w:eastAsia="Times New Roman" w:hAnsi="Times New Roman"/>
          <w:b/>
          <w:bCs/>
          <w:sz w:val="26"/>
          <w:szCs w:val="26"/>
        </w:rPr>
        <w:t xml:space="preserve">2.3 Domain Instantiation</w:t>
      </w:r>
    </w:p>
    <w:p>
      <w:pPr>
        <w:spacing w:line="480" w:after="60"/>
      </w:pPr>
      <w:r>
        <w:rPr>
          <w:rFonts w:ascii="Times New Roman" w:cs="Times New Roman" w:eastAsia="Times New Roman" w:hAnsi="Times New Roman"/>
          <w:i/>
          <w:iCs/>
          <w:color w:val="888888"/>
          <w:sz w:val="24"/>
          <w:szCs w:val="24"/>
        </w:rPr>
        <w:t xml:space="preserve">[Reference Table 1 below.]</w:t>
      </w:r>
    </w:p>
    <w:p>
      <w:pPr>
        <w:spacing w:before="240" w:after="60" w:line="480"/>
        <w:jc w:val="center"/>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SAGE instantiation for two water resource domains.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Component</w:t>
            </w:r>
          </w:p>
        </w:tc>
        <w:tc>
          <w:tcPr>
            <w:tcW w:type="dxa" w:w="358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Flood Adaptation</w:t>
            </w:r>
          </w:p>
        </w:tc>
        <w:tc>
          <w:tcPr>
            <w:tcW w:type="dxa" w:w="358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Irrigation Management</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Skills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elevate, insure, relocate, both, do_nothing</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increase, decrease, efficiency, acreage, maintain</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Physical validators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already_elevated, already_insured</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water_right_cap, already_efficient</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Institutional validators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compact_allocation, drought_severity</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Memory engine</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Flood trauma recall</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Regret feedback</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Appraisal framework</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PMT (threat/coping)</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Dual appraisal (WSA/ACA)</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Agents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100 households × 10 yr</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78 districts × 42 yr</w:t>
            </w:r>
          </w:p>
        </w:tc>
      </w:tr>
    </w:tbl>
    <w:p>
      <w:pPr>
        <w:spacing w:after="240"/>
      </w:pPr>
    </w:p>
    <w:p>
      <w:pPr>
        <w:pStyle w:val="Heading1"/>
        <w:spacing w:before="360" w:after="240" w:line="480"/>
      </w:pPr>
      <w:r>
        <w:rPr>
          <w:rFonts w:ascii="Times New Roman" w:cs="Times New Roman" w:eastAsia="Times New Roman" w:hAnsi="Times New Roman"/>
          <w:b/>
          <w:bCs/>
          <w:sz w:val="28"/>
          <w:szCs w:val="28"/>
        </w:rPr>
        <w:t xml:space="preserve">3. Metrics</w:t>
      </w:r>
    </w:p>
    <w:p>
      <w:pPr>
        <w:spacing w:line="480" w:after="120"/>
        <w:jc w:val="left"/>
      </w:pPr>
      <w:r>
        <w:rPr>
          <w:rFonts w:ascii="Times New Roman" w:cs="Times New Roman" w:eastAsia="Times New Roman" w:hAnsi="Times New Roman"/>
          <w:sz w:val="24"/>
          <w:szCs w:val="24"/>
        </w:rPr>
        <w:t xml:space="preserve">We define </w:t>
      </w:r>
      <w:r>
        <w:rPr>
          <w:rFonts w:ascii="Times New Roman" w:cs="Times New Roman" w:eastAsia="Times New Roman" w:hAnsi="Times New Roman"/>
          <w:i/>
          <w:iCs/>
          <w:sz w:val="24"/>
          <w:szCs w:val="24"/>
        </w:rPr>
        <w:t xml:space="preserve">behavioral hallucination</w:t>
      </w:r>
      <w:r>
        <w:rPr>
          <w:rFonts w:ascii="Times New Roman" w:cs="Times New Roman" w:eastAsia="Times New Roman" w:hAnsi="Times New Roman"/>
          <w:sz w:val="24"/>
          <w:szCs w:val="24"/>
        </w:rPr>
        <w:t xml:space="preserve"> as an action 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proposed by an LLM agent that violates physical or institutional constraints given the agent’s state 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at the previous timestep. Formally, let A(s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denote the set of feasible actions given state 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An action is a behavioral hallucination if 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A(s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This differs from textual hallucination (Ji et al., 2023) in that the output may be linguistically coherent but physically impossible. The hallucination rate is:</w:t>
      </w:r>
    </w:p>
    <w:p>
      <w:pPr>
        <w:spacing w:line="480" w:before="120" w:after="120"/>
        <w:jc w:val="center"/>
      </w:pPr>
      <w:r>
        <w:rPr>
          <w:rFonts w:ascii="Times New Roman" w:cs="Times New Roman" w:eastAsia="Times New Roman" w:hAnsi="Times New Roman"/>
          <w:sz w:val="24"/>
          <w:szCs w:val="24"/>
        </w:rPr>
        <w:t xml:space="preserve">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hall</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total</w:t>
      </w:r>
      <w:r>
        <w:rPr>
          <w:rFonts w:ascii="Times New Roman" w:cs="Times New Roman" w:eastAsia="Times New Roman" w:hAnsi="Times New Roman"/>
          <w:sz w:val="24"/>
          <w:szCs w:val="24"/>
        </w:rPr>
        <w:t xml:space="preserve">          (1)</w:t>
      </w:r>
    </w:p>
    <w:p>
      <w:pPr>
        <w:spacing w:line="480" w:after="120"/>
        <w:jc w:val="left"/>
      </w:pPr>
      <w:r>
        <w:rPr>
          <w:rFonts w:ascii="Times New Roman" w:cs="Times New Roman" w:eastAsia="Times New Roman" w:hAnsi="Times New Roman"/>
          <w:sz w:val="24"/>
          <w:szCs w:val="24"/>
        </w:rPr>
        <w:t xml:space="preserve">The Effective Behavioral Entropy (EBE) combines normalized Shannon entropy (Shannon, 1948) with the hallucination penalty:</w:t>
      </w:r>
    </w:p>
    <w:p>
      <w:pPr>
        <w:spacing w:line="480" w:before="120" w:after="120"/>
        <w:jc w:val="center"/>
      </w:pPr>
      <w:r>
        <w:rPr>
          <w:rFonts w:ascii="Times New Roman" w:cs="Times New Roman" w:eastAsia="Times New Roman" w:hAnsi="Times New Roman"/>
          <w:sz w:val="24"/>
          <w:szCs w:val="24"/>
        </w:rPr>
        <w:t xml:space="preserve">EBE =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 (1 − 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[H / log</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(k)] × [1 − n</w:t>
      </w:r>
      <w:r>
        <w:rPr>
          <w:rFonts w:ascii="Times New Roman" w:cs="Times New Roman" w:eastAsia="Times New Roman" w:hAnsi="Times New Roman"/>
          <w:sz w:val="24"/>
          <w:szCs w:val="24"/>
          <w:vertAlign w:val="subscript"/>
        </w:rPr>
        <w:t xml:space="preserve">hall</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total</w:t>
      </w:r>
      <w:r>
        <w:rPr>
          <w:rFonts w:ascii="Times New Roman" w:cs="Times New Roman" w:eastAsia="Times New Roman" w:hAnsi="Times New Roman"/>
          <w:sz w:val="24"/>
          <w:szCs w:val="24"/>
        </w:rPr>
        <w:t xml:space="preserve">]          (2)</w:t>
      </w:r>
    </w:p>
    <w:p>
      <w:pPr>
        <w:spacing w:line="480" w:after="120"/>
        <w:jc w:val="left"/>
      </w:pPr>
      <w:r>
        <w:rPr>
          <w:rFonts w:ascii="Times New Roman" w:cs="Times New Roman" w:eastAsia="Times New Roman" w:hAnsi="Times New Roman"/>
          <w:sz w:val="24"/>
          <w:szCs w:val="24"/>
        </w:rPr>
        <w:t xml:space="preserve">where k is the number of available actions and H = −Σ 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log</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Shannon entropy of the 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w:t>
      </w:r>
    </w:p>
    <w:p>
      <w:r>
        <w:br w:type="page"/>
      </w:r>
    </w:p>
    <w:p>
      <w:pPr>
        <w:pStyle w:val="Heading1"/>
        <w:spacing w:before="360" w:after="240" w:line="480"/>
      </w:pPr>
      <w:r>
        <w:rPr>
          <w:rFonts w:ascii="Times New Roman" w:cs="Times New Roman" w:eastAsia="Times New Roman" w:hAnsi="Times New Roman"/>
          <w:b/>
          <w:bCs/>
          <w:sz w:val="28"/>
          <w:szCs w:val="28"/>
        </w:rPr>
        <w:t xml:space="preserve">4. Case Study 1: Flood Adaptation</w:t>
      </w:r>
    </w:p>
    <w:p>
      <w:pPr>
        <w:pStyle w:val="Heading2"/>
        <w:spacing w:before="240" w:after="120" w:line="480"/>
      </w:pPr>
      <w:r>
        <w:rPr>
          <w:rFonts w:ascii="Times New Roman" w:cs="Times New Roman" w:eastAsia="Times New Roman" w:hAnsi="Times New Roman"/>
          <w:b/>
          <w:bCs/>
          <w:sz w:val="26"/>
          <w:szCs w:val="26"/>
        </w:rPr>
        <w:t xml:space="preserve">4.1 Experimental Design</w:t>
      </w:r>
    </w:p>
    <w:p>
      <w:pPr>
        <w:spacing w:line="480" w:after="60"/>
      </w:pPr>
      <w:r>
        <w:rPr>
          <w:rFonts w:ascii="Times New Roman" w:cs="Times New Roman" w:eastAsia="Times New Roman" w:hAnsi="Times New Roman"/>
          <w:i/>
          <w:iCs/>
          <w:color w:val="888888"/>
          <w:sz w:val="24"/>
          <w:szCs w:val="24"/>
        </w:rPr>
        <w:t xml:space="preserve">[100 household agents, 10-year simulation, flood events at years 3, 4, 9. Three groups: A (raw LLM), B (SAGE + window memory), C (SAGE + human-centric memory). Primary model: Gemma 3 4B. PMT appraisal framework.]</w:t>
      </w:r>
    </w:p>
    <w:p>
      <w:pPr>
        <w:pStyle w:val="Heading2"/>
        <w:spacing w:before="240" w:after="120" w:line="480"/>
      </w:pPr>
      <w:r>
        <w:rPr>
          <w:rFonts w:ascii="Times New Roman" w:cs="Times New Roman" w:eastAsia="Times New Roman" w:hAnsi="Times New Roman"/>
          <w:b/>
          <w:bCs/>
          <w:sz w:val="26"/>
          <w:szCs w:val="26"/>
        </w:rPr>
        <w:t xml:space="preserve">4.2 Hallucination Detection and Correction</w:t>
      </w:r>
    </w:p>
    <w:p>
      <w:pPr>
        <w:spacing w:line="480" w:after="60"/>
      </w:pPr>
      <w:r>
        <w:rPr>
          <w:rFonts w:ascii="Times New Roman" w:cs="Times New Roman" w:eastAsia="Times New Roman" w:hAnsi="Times New Roman"/>
          <w:i/>
          <w:iCs/>
          <w:color w:val="888888"/>
          <w:sz w:val="24"/>
          <w:szCs w:val="24"/>
        </w:rPr>
        <w:t xml:space="preserve">[Method: compare decision against prior-year state. Group A: 33% hallucination rate. Groups B/C: &lt;2%. Reference Equations 1–2.]</w:t>
      </w:r>
    </w:p>
    <w:p>
      <w:pPr>
        <w:pStyle w:val="Heading2"/>
        <w:spacing w:before="240" w:after="120" w:line="480"/>
      </w:pPr>
      <w:r>
        <w:rPr>
          <w:rFonts w:ascii="Times New Roman" w:cs="Times New Roman" w:eastAsia="Times New Roman" w:hAnsi="Times New Roman"/>
          <w:b/>
          <w:bCs/>
          <w:sz w:val="26"/>
          <w:szCs w:val="26"/>
        </w:rPr>
        <w:t xml:space="preserve">4.3 Results</w:t>
      </w:r>
    </w:p>
    <w:p>
      <w:pPr>
        <w:spacing w:line="480" w:after="60"/>
      </w:pPr>
      <w:r>
        <w:rPr>
          <w:rFonts w:ascii="Times New Roman" w:cs="Times New Roman" w:eastAsia="Times New Roman" w:hAnsi="Times New Roman"/>
          <w:i/>
          <w:iCs/>
          <w:color w:val="888888"/>
          <w:sz w:val="24"/>
          <w:szCs w:val="24"/>
        </w:rPr>
        <w:t xml:space="preserve">[Reference Figure 3. Key findings: Group A EBE=0.41 (hallucination inflates), Group C EBE=0.54 (32% higher). Cumulative relocation: A=1%, B=33%, C=43%.]</w:t>
      </w:r>
    </w:p>
    <w:p>
      <w:pPr>
        <w:spacing w:before="240" w:after="60" w:line="480"/>
        <w:jc w:val="center"/>
      </w:pPr>
      <w:r>
        <w:rPr>
          <w:rFonts w:ascii="Times New Roman" w:cs="Times New Roman" w:eastAsia="Times New Roman" w:hAnsi="Times New Roman"/>
          <w:i/>
          <w:iCs/>
          <w:color w:val="CC0000"/>
          <w:sz w:val="24"/>
          <w:szCs w:val="24"/>
        </w:rPr>
        <w:t xml:space="preserve">[FIGURE 3: Flood Results — Hallucination panel + cumulative relocation]</w:t>
      </w:r>
    </w:p>
    <w:p>
      <w:pPr>
        <w:pStyle w:val="Heading1"/>
        <w:spacing w:before="360" w:after="240" w:line="480"/>
      </w:pPr>
      <w:r>
        <w:rPr>
          <w:rFonts w:ascii="Times New Roman" w:cs="Times New Roman" w:eastAsia="Times New Roman" w:hAnsi="Times New Roman"/>
          <w:b/>
          <w:bCs/>
          <w:sz w:val="28"/>
          <w:szCs w:val="28"/>
        </w:rPr>
        <w:t xml:space="preserve">5. Case Study 2: Colorado River Irrigation</w:t>
      </w:r>
    </w:p>
    <w:p>
      <w:pPr>
        <w:pStyle w:val="Heading2"/>
        <w:spacing w:before="240" w:after="120" w:line="480"/>
      </w:pPr>
      <w:r>
        <w:rPr>
          <w:rFonts w:ascii="Times New Roman" w:cs="Times New Roman" w:eastAsia="Times New Roman" w:hAnsi="Times New Roman"/>
          <w:b/>
          <w:bCs/>
          <w:sz w:val="26"/>
          <w:szCs w:val="26"/>
        </w:rPr>
        <w:t xml:space="preserve">5.1 Setup</w:t>
      </w:r>
    </w:p>
    <w:p>
      <w:pPr>
        <w:spacing w:line="480" w:after="60"/>
      </w:pPr>
      <w:r>
        <w:rPr>
          <w:rFonts w:ascii="Times New Roman" w:cs="Times New Roman" w:eastAsia="Times New Roman" w:hAnsi="Times New Roman"/>
          <w:i/>
          <w:iCs/>
          <w:color w:val="888888"/>
          <w:sz w:val="24"/>
          <w:szCs w:val="24"/>
        </w:rPr>
        <w:t xml:space="preserve">[78 irrigation districts from CRSS database. 42-year horizon (2019–2060). Hung &amp; Yang (2021) as validation reference. Dual-appraisal: WSA (Water Scarcity Assessment), ACA (Adaptive Capacity Assessment).]</w:t>
      </w:r>
    </w:p>
    <w:p>
      <w:pPr>
        <w:pStyle w:val="Heading2"/>
        <w:spacing w:before="240" w:after="120" w:line="480"/>
      </w:pPr>
      <w:r>
        <w:rPr>
          <w:rFonts w:ascii="Times New Roman" w:cs="Times New Roman" w:eastAsia="Times New Roman" w:hAnsi="Times New Roman"/>
          <w:b/>
          <w:bCs/>
          <w:sz w:val="26"/>
          <w:szCs w:val="26"/>
        </w:rPr>
        <w:t xml:space="preserve">5.2 Results</w:t>
      </w:r>
    </w:p>
    <w:p>
      <w:pPr>
        <w:spacing w:line="480" w:after="60"/>
      </w:pPr>
      <w:r>
        <w:rPr>
          <w:rFonts w:ascii="Times New Roman" w:cs="Times New Roman" w:eastAsia="Times New Roman" w:hAnsi="Times New Roman"/>
          <w:i/>
          <w:iCs/>
          <w:color w:val="888888"/>
          <w:sz w:val="24"/>
          <w:szCs w:val="24"/>
        </w:rPr>
        <w:t xml:space="preserve">[Reference Figure 4. Governance maintains physically feasible demand trajectories. Institutional constraints prevent over-extraction.]</w:t>
      </w:r>
    </w:p>
    <w:p>
      <w:pPr>
        <w:spacing w:before="240" w:after="60" w:line="480"/>
        <w:jc w:val="center"/>
      </w:pPr>
      <w:r>
        <w:rPr>
          <w:rFonts w:ascii="Times New Roman" w:cs="Times New Roman" w:eastAsia="Times New Roman" w:hAnsi="Times New Roman"/>
          <w:i/>
          <w:iCs/>
          <w:color w:val="CC0000"/>
          <w:sz w:val="24"/>
          <w:szCs w:val="24"/>
        </w:rPr>
        <w:t xml:space="preserve">[FIGURE 4: Irrigation Results — Demand trajectories by cluster]</w:t>
      </w:r>
    </w:p>
    <w:p>
      <w:r>
        <w:br w:type="page"/>
      </w:r>
    </w:p>
    <w:p>
      <w:pPr>
        <w:pStyle w:val="Heading1"/>
        <w:spacing w:before="360" w:after="240" w:line="480"/>
      </w:pPr>
      <w:r>
        <w:rPr>
          <w:rFonts w:ascii="Times New Roman" w:cs="Times New Roman" w:eastAsia="Times New Roman" w:hAnsi="Times New Roman"/>
          <w:b/>
          <w:bCs/>
          <w:sz w:val="28"/>
          <w:szCs w:val="28"/>
        </w:rPr>
        <w:t xml:space="preserve">6. Discussion</w:t>
      </w:r>
    </w:p>
    <w:p>
      <w:pPr>
        <w:spacing w:line="480" w:after="60"/>
      </w:pPr>
      <w:r>
        <w:rPr>
          <w:rFonts w:ascii="Times New Roman" w:cs="Times New Roman" w:eastAsia="Times New Roman" w:hAnsi="Times New Roman"/>
          <w:i/>
          <w:iCs/>
          <w:color w:val="888888"/>
          <w:sz w:val="24"/>
          <w:szCs w:val="24"/>
        </w:rPr>
        <w:t xml:space="preserve">[~500 words. Para 1: EBE as diagnostic (Jost, 2006). Para 2: Cross-model robustness (7 configurations). Para 3: Limitations (single-run, temperature, 78 agents, ~5% latency overhead).]</w:t>
      </w:r>
    </w:p>
    <w:p>
      <w:pPr>
        <w:pStyle w:val="Heading1"/>
        <w:spacing w:before="360" w:after="240" w:line="480"/>
      </w:pPr>
      <w:r>
        <w:rPr>
          <w:rFonts w:ascii="Times New Roman" w:cs="Times New Roman" w:eastAsia="Times New Roman" w:hAnsi="Times New Roman"/>
          <w:b/>
          <w:bCs/>
          <w:sz w:val="28"/>
          <w:szCs w:val="28"/>
        </w:rPr>
        <w:t xml:space="preserve">7. Conclusions</w:t>
      </w:r>
    </w:p>
    <w:p>
      <w:pPr>
        <w:spacing w:line="480" w:after="60"/>
      </w:pPr>
      <w:r>
        <w:rPr>
          <w:rFonts w:ascii="Times New Roman" w:cs="Times New Roman" w:eastAsia="Times New Roman" w:hAnsi="Times New Roman"/>
          <w:i/>
          <w:iCs/>
          <w:color w:val="888888"/>
          <w:sz w:val="24"/>
          <w:szCs w:val="24"/>
        </w:rPr>
        <w:t xml:space="preserve">[~300 words. 3 contributions: SAGE architecture, EBE metric, two-domain validation. Future: multi-agent interaction governance, dynamic rule learning.]</w:t>
      </w:r>
    </w:p>
    <w:p>
      <w:pPr>
        <w:pStyle w:val="Heading1"/>
        <w:spacing w:before="360" w:after="240" w:line="480"/>
      </w:pPr>
      <w:r>
        <w:rPr>
          <w:rFonts w:ascii="Times New Roman" w:cs="Times New Roman" w:eastAsia="Times New Roman" w:hAnsi="Times New Roman"/>
          <w:b/>
          <w:bCs/>
          <w:sz w:val="28"/>
          <w:szCs w:val="28"/>
        </w:rPr>
        <w:t xml:space="preserve">Data Availability Statement</w:t>
      </w:r>
    </w:p>
    <w:p>
      <w:pPr>
        <w:spacing w:line="480" w:after="120"/>
        <w:jc w:val="left"/>
      </w:pPr>
      <w:r>
        <w:rPr>
          <w:rFonts w:ascii="Times New Roman" w:cs="Times New Roman" w:eastAsia="Times New Roman" w:hAnsi="Times New Roman"/>
          <w:sz w:val="24"/>
          <w:szCs w:val="24"/>
        </w:rPr>
        <w:t xml:space="preserve">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pPr>
        <w:pStyle w:val="Heading1"/>
        <w:spacing w:before="360" w:after="240" w:line="480"/>
      </w:pPr>
      <w:r>
        <w:rPr>
          <w:rFonts w:ascii="Times New Roman" w:cs="Times New Roman" w:eastAsia="Times New Roman" w:hAnsi="Times New Roman"/>
          <w:b/>
          <w:bCs/>
          <w:sz w:val="28"/>
          <w:szCs w:val="28"/>
        </w:rPr>
        <w:t xml:space="preserve">Conflict of Interest</w:t>
      </w:r>
    </w:p>
    <w:p>
      <w:pPr>
        <w:spacing w:line="480" w:after="120"/>
        <w:jc w:val="left"/>
      </w:pPr>
      <w:r>
        <w:rPr>
          <w:rFonts w:ascii="Times New Roman" w:cs="Times New Roman" w:eastAsia="Times New Roman" w:hAnsi="Times New Roman"/>
          <w:sz w:val="24"/>
          <w:szCs w:val="24"/>
        </w:rPr>
        <w:t xml:space="preserve">The authors declare no conflicts of interest relevant to this study.</w:t>
      </w:r>
    </w:p>
    <w:p>
      <w:pPr>
        <w:pStyle w:val="Heading1"/>
        <w:spacing w:before="360" w:after="240" w:line="480"/>
      </w:pPr>
      <w:r>
        <w:rPr>
          <w:rFonts w:ascii="Times New Roman" w:cs="Times New Roman" w:eastAsia="Times New Roman" w:hAnsi="Times New Roman"/>
          <w:b/>
          <w:bCs/>
          <w:sz w:val="28"/>
          <w:szCs w:val="28"/>
        </w:rPr>
        <w:t xml:space="preserve">Author Contributions</w:t>
      </w:r>
    </w:p>
    <w:p>
      <w:pPr>
        <w:spacing w:line="480" w:after="120"/>
        <w:jc w:val="left"/>
      </w:pPr>
      <w:r>
        <w:rPr>
          <w:rFonts w:ascii="Times New Roman" w:cs="Times New Roman" w:eastAsia="Times New Roman" w:hAnsi="Times New Roman"/>
          <w:b/>
          <w:bCs/>
          <w:sz w:val="24"/>
          <w:szCs w:val="24"/>
        </w:rPr>
        <w:t xml:space="preserve">Wen-Yu Chen: </w:t>
      </w:r>
      <w:r>
        <w:rPr>
          <w:rFonts w:ascii="Times New Roman" w:cs="Times New Roman" w:eastAsia="Times New Roman" w:hAnsi="Times New Roman"/>
          <w:sz w:val="24"/>
          <w:szCs w:val="24"/>
        </w:rPr>
        <w:t xml:space="preserve">Conceptualization, Methodology, Software, Validation, Formal analysis, Investigation, Writing – Original Draft, Visualization. </w:t>
      </w:r>
      <w:r>
        <w:rPr>
          <w:rFonts w:ascii="Times New Roman" w:cs="Times New Roman" w:eastAsia="Times New Roman" w:hAnsi="Times New Roman"/>
          <w:b/>
          <w:bCs/>
          <w:sz w:val="24"/>
          <w:szCs w:val="24"/>
        </w:rPr>
        <w:t xml:space="preserve">[Second Author]: </w:t>
      </w:r>
      <w:r>
        <w:rPr>
          <w:rFonts w:ascii="Times New Roman" w:cs="Times New Roman" w:eastAsia="Times New Roman" w:hAnsi="Times New Roman"/>
          <w:sz w:val="24"/>
          <w:szCs w:val="24"/>
        </w:rPr>
        <w:t xml:space="preserve">Supervision, Writing – Review &amp; Editing, Funding acquisition.</w:t>
      </w:r>
    </w:p>
    <w:p>
      <w:pPr>
        <w:pStyle w:val="Heading1"/>
        <w:spacing w:before="360" w:after="240" w:line="480"/>
      </w:pPr>
      <w:r>
        <w:rPr>
          <w:rFonts w:ascii="Times New Roman" w:cs="Times New Roman" w:eastAsia="Times New Roman" w:hAnsi="Times New Roman"/>
          <w:b/>
          <w:bCs/>
          <w:sz w:val="28"/>
          <w:szCs w:val="28"/>
        </w:rPr>
        <w:t xml:space="preserve">Acknowledgments</w:t>
      </w:r>
    </w:p>
    <w:p>
      <w:pPr>
        <w:spacing w:line="480" w:after="120"/>
        <w:jc w:val="left"/>
      </w:pPr>
      <w:r>
        <w:rPr>
          <w:rFonts w:ascii="Times New Roman" w:cs="Times New Roman" w:eastAsia="Times New Roman" w:hAnsi="Times New Roman"/>
          <w:sz w:val="24"/>
          <w:szCs w:val="24"/>
        </w:rPr>
        <w:t xml:space="preserve">This work was supported by [funding source].</w:t>
      </w:r>
    </w:p>
    <w:p>
      <w:r>
        <w:br w:type="page"/>
      </w:r>
    </w:p>
    <w:p>
      <w:pPr>
        <w:pStyle w:val="Heading1"/>
        <w:spacing w:before="360" w:after="240" w:line="480"/>
      </w:pPr>
      <w:r>
        <w:rPr>
          <w:rFonts w:ascii="Times New Roman" w:cs="Times New Roman" w:eastAsia="Times New Roman" w:hAnsi="Times New Roman"/>
          <w:b/>
          <w:bCs/>
          <w:sz w:val="28"/>
          <w:szCs w:val="28"/>
        </w:rPr>
        <w:t xml:space="preserve">References</w:t>
      </w:r>
    </w:p>
    <w:p>
      <w:pPr>
        <w:spacing w:line="480" w:after="60"/>
      </w:pPr>
      <w:r>
        <w:rPr>
          <w:rFonts w:ascii="Times New Roman" w:cs="Times New Roman" w:eastAsia="Times New Roman" w:hAnsi="Times New Roman"/>
          <w:i/>
          <w:iCs/>
          <w:color w:val="888888"/>
          <w:sz w:val="24"/>
          <w:szCs w:val="24"/>
        </w:rPr>
        <w:t xml:space="preserve">[32 references from Zotero library. Export in AGU format.]</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SAGE: Governance Middleware for LLM-Driven Water ABMs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2026-01-31T17:12:17.310Z</dcterms:created>
  <dcterms:modified xsi:type="dcterms:W3CDTF">2026-01-31T17:12:17.310Z</dcterms:modified>
</cp:coreProperties>
</file>

<file path=docProps/custom.xml><?xml version="1.0" encoding="utf-8"?>
<Properties xmlns="http://schemas.openxmlformats.org/officeDocument/2006/custom-properties" xmlns:vt="http://schemas.openxmlformats.org/officeDocument/2006/docPropsVTypes"/>
</file>