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b/>
          <w:bCs/>
          <w:sz w:val="32"/>
          <w:szCs w:val="32"/>
        </w:rPr>
        <w:t xml:space="preserve">Governed Broker Framework: Cognitive Middleware for</w:t>
      </w:r>
    </w:p>
    <w:p>
      <w:pPr>
        <w:spacing w:line="480" w:after="0"/>
        <w:jc w:val="center"/>
      </w:pPr>
      <w:r>
        <w:rPr>
          <w:rFonts w:ascii="Times New Roman" w:cs="Times New Roman" w:eastAsia="Times New Roman" w:hAnsi="Times New Roman"/>
          <w:b/>
          <w:bCs/>
          <w:sz w:val="32"/>
          <w:szCs w:val="32"/>
        </w:rPr>
        <w:t xml:space="preserve">LLM-Driven Agent-Based Models of Human-Water Interactions</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sz w:val="24"/>
          <w:szCs w:val="24"/>
        </w:rPr>
        <w:t xml:space="preserve">Wen-Yu Chen</w:t>
      </w:r>
    </w:p>
    <w:p>
      <w:pPr>
        <w:spacing w:line="480" w:after="0"/>
        <w:jc w:val="center"/>
      </w:pPr>
      <w:r>
        <w:rPr>
          <w:rFonts w:ascii="Times New Roman" w:cs="Times New Roman" w:eastAsia="Times New Roman" w:hAnsi="Times New Roman"/>
          <w:sz w:val="24"/>
          <w:szCs w:val="24"/>
        </w:rPr>
        <w:t xml:space="preserve">Y. C. Ethan Yang</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sz w:val="24"/>
          <w:szCs w:val="24"/>
        </w:rPr>
        <w:t xml:space="preserve">Department of Civil and Environmental Engineering</w:t>
      </w:r>
    </w:p>
    <w:p>
      <w:pPr>
        <w:spacing w:line="480" w:after="0"/>
        <w:jc w:val="center"/>
      </w:pPr>
      <w:r>
        <w:rPr>
          <w:rFonts w:ascii="Times New Roman" w:cs="Times New Roman" w:eastAsia="Times New Roman" w:hAnsi="Times New Roman"/>
          <w:i/>
          <w:iCs/>
          <w:sz w:val="24"/>
          <w:szCs w:val="24"/>
        </w:rPr>
        <w:t xml:space="preserve">Lehigh University, Bethlehem, PA, USA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sz w:val="24"/>
          <w:szCs w:val="24"/>
        </w:rPr>
        <w:t xml:space="preserve">Corresponding author: </w:t>
      </w:r>
    </w:p>
    <w:p>
      <w:pPr>
        <w:spacing w:line="480" w:after="0"/>
        <w:jc w:val="center"/>
      </w:pPr>
      <w:r>
        <w:rPr>
          <w:rFonts w:ascii="Times New Roman" w:cs="Times New Roman" w:eastAsia="Times New Roman" w:hAnsi="Times New Roman"/>
          <w:sz w:val="24"/>
          <w:szCs w:val="24"/>
        </w:rPr>
        <w:t xml:space="preserve">Wen-Yu Chen (wec225@lehigh.edu)</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b/>
          <w:bCs/>
          <w:sz w:val="24"/>
          <w:szCs w:val="24"/>
        </w:rPr>
        <w:t xml:space="preserve">Key Points:</w:t>
      </w:r>
    </w:p>
    <w:p>
      <w:pPr>
        <w:spacing w:line="480" w:after="0"/>
        <w:jc w:val="left"/>
      </w:pPr>
      <w:r>
        <w:rPr>
          <w:rFonts w:ascii="Times New Roman" w:cs="Times New Roman" w:eastAsia="Times New Roman" w:hAnsi="Times New Roman"/>
          <w:sz w:val="24"/>
          <w:szCs w:val="24"/>
        </w:rPr>
        <w:t xml:space="preserve">1. We present a cognitive governance middleware that enables small LLMs (4B parameters) to serve as behaviorally valid agents in coupled human-water simulations</w:t>
      </w:r>
    </w:p>
    <w:p>
      <w:pPr>
        <w:spacing w:line="480" w:after="0"/>
        <w:jc w:val="left"/>
      </w:pPr>
      <w:r>
        <w:rPr>
          <w:rFonts w:ascii="Times New Roman" w:cs="Times New Roman" w:eastAsia="Times New Roman" w:hAnsi="Times New Roman"/>
          <w:sz w:val="24"/>
          <w:szCs w:val="24"/>
        </w:rPr>
        <w:t xml:space="preserve">2. A three-group ablation study across model scales (4B/12B/27B) reveals governance as a “cognitive prosthetic” with inverse scaling effect</w:t>
      </w:r>
    </w:p>
    <w:p>
      <w:pPr>
        <w:spacing w:line="480" w:after="0"/>
        <w:jc w:val="left"/>
      </w:pPr>
      <w:r>
        <w:rPr>
          <w:rFonts w:ascii="Times New Roman" w:cs="Times New Roman" w:eastAsia="Times New Roman" w:hAnsi="Times New Roman"/>
          <w:sz w:val="24"/>
          <w:szCs w:val="24"/>
        </w:rPr>
        <w:t xml:space="preserve">3. Framework extensibility is demonstrated through flood-to-irrigation domain transfer using configuration-driven skill registries</w:t>
      </w:r>
    </w:p>
    <w:p>
      <w:r>
        <w:br w:type="page"/>
      </w:r>
    </w:p>
    <w:p>
      <w:pPr>
        <w:spacing w:line="480" w:before="360" w:after="120"/>
      </w:pPr>
      <w:r>
        <w:rPr>
          <w:rFonts w:ascii="Times New Roman" w:cs="Times New Roman" w:eastAsia="Times New Roman" w:hAnsi="Times New Roman"/>
          <w:b/>
          <w:bCs/>
          <w:sz w:val="28"/>
          <w:szCs w:val="28"/>
        </w:rPr>
        <w:t xml:space="preserve">Abstract</w:t>
      </w:r>
    </w:p>
    <w:p>
      <w:pPr>
        <w:spacing w:line="480" w:after="0"/>
        <w:jc w:val="left"/>
      </w:pPr>
      <w:r>
        <w:rPr>
          <w:rFonts w:ascii="Times New Roman" w:cs="Times New Roman" w:eastAsia="Times New Roman" w:hAnsi="Times New Roman"/>
          <w:sz w:val="24"/>
          <w:szCs w:val="24"/>
        </w:rPr>
        <w:t xml:space="preserve">Agent-based models of coupled human-water systems require representing boundedly rational human decisions that interact with physical water processes. While Large Language Models (LLMs) offer cognitive richness beyond rule-based agents, they exhibit behavioral hallucinations, mode collapse, and memory erosion across long-horizon simulations. We present the Governed Broker Framework (GBF), a Python middleware that bridges this gap through a skill-based governance pipeline designed for water-domain simulations. GBF implements a three-layer architecture: (1) an LLM engine providing fast, intuitive reasoning (System 1), (2) a Governed Broker that validates decisions against physical constraints and behavioral theory (System 2), and (3) a simulation environment modeling the physical water system. We validate the framework through two case studies. In a flood household adaptation experiment (100 agents, 10 years, Gemma 3 family), a three-group ablation study demonstrates that governance suppresses behavioral hallucinations from 41% to &lt;1% in small models (4B), sustains decision diversity (Shannon entropy H_norm &gt; 0.5) over 10-year horizons, and reveals an inverse scaling effect where smaller models benefit most from governance. Analysis of the 12B model identifies a conformity cascade driven by social observation feedback, demonstrating the limitation boundary of current governance (Level 2) and motivating embedding-augmented approaches (Level 3). In an irrigation water management experiment (78 CRSS agents, Upper Colorado River Basin), the same framework components generalize through configuration alone, requiring only new skill registries and domain validators. GBF is open-source and designed for reproducible deployment of LLM agents in hydro-social ABMs.</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b/>
          <w:bCs/>
          <w:sz w:val="24"/>
          <w:szCs w:val="24"/>
        </w:rPr>
        <w:t xml:space="preserve">Plain Language Summary: </w:t>
      </w:r>
      <w:r>
        <w:rPr>
          <w:rFonts w:ascii="Times New Roman" w:cs="Times New Roman" w:eastAsia="Times New Roman" w:hAnsi="Times New Roman"/>
          <w:sz w:val="24"/>
          <w:szCs w:val="24"/>
        </w:rPr>
        <w:t xml:space="preserve">Computer models of how people interact with water systems (e.g., flood risk, irrigation) need realistic human decision-making. We created software that uses AI language models as virtual decision-makers, with built-in safety rules to prevent the AI from making impossible or irrational choices. Our tests show this approach works for both flood adaptation and irrigation management scenarios.</w:t>
      </w:r>
    </w:p>
    <w:p>
      <w:r>
        <w:br w:type="page"/>
      </w:r>
    </w:p>
    <w:p>
      <w:pPr>
        <w:spacing w:line="480" w:before="360" w:after="120"/>
      </w:pPr>
      <w:r>
        <w:rPr>
          <w:rFonts w:ascii="Times New Roman" w:cs="Times New Roman" w:eastAsia="Times New Roman" w:hAnsi="Times New Roman"/>
          <w:b/>
          <w:bCs/>
          <w:sz w:val="28"/>
          <w:szCs w:val="28"/>
        </w:rPr>
        <w:t xml:space="preserve">1 Introduction</w:t>
      </w:r>
    </w:p>
    <w:p>
      <w:pPr>
        <w:spacing w:line="480" w:after="0"/>
        <w:ind w:firstLine="720"/>
        <w:jc w:val="left"/>
      </w:pPr>
      <w:r>
        <w:rPr>
          <w:rFonts w:ascii="Times New Roman" w:cs="Times New Roman" w:eastAsia="Times New Roman" w:hAnsi="Times New Roman"/>
          <w:sz w:val="24"/>
          <w:szCs w:val="24"/>
        </w:rPr>
        <w:t xml:space="preserve">Coupled human-water systems modeling has emerged as a critical frontier in water resources research, requiring representations of boundedly rational human decisions that interact with and feed back into physical water processes (Di Baldassarre et al., 2013). In flood risk management, households make complex adaptation decisions—purchasing insurance, elevating properties, or relocating—based on incomplete information, cognitive biases, and social influences. In irrigation management, farmers adjust water demand strategies in response to drought signals, institutional constraints, and peer behavior. These decision processes are inherently cognitive: they involve perception of risk, evaluation of coping capacity, and integration of social observations over time.</w:t>
      </w:r>
    </w:p>
    <w:p>
      <w:pPr>
        <w:spacing w:line="480" w:after="0"/>
        <w:ind w:firstLine="720"/>
        <w:jc w:val="left"/>
      </w:pPr>
      <w:r>
        <w:rPr>
          <w:rFonts w:ascii="Times New Roman" w:cs="Times New Roman" w:eastAsia="Times New Roman" w:hAnsi="Times New Roman"/>
          <w:sz w:val="24"/>
          <w:szCs w:val="24"/>
        </w:rPr>
        <w:t xml:space="preserve">Traditional agent-based models (ABMs) represent these decisions through fixed rule sets or decision trees (Mostafavi et al., 2018; Castilla-Rho et al., 2017). While computationally efficient, rule-based agents lack the behavioral heterogeneity and contextual reasoning that characterize real human decision-making. Each agent follows identical logic, differing only in parameter values, producing populations that are statistically varied but cognitively uniform.</w:t>
      </w:r>
    </w:p>
    <w:p>
      <w:pPr>
        <w:spacing w:line="480" w:after="0"/>
        <w:ind w:firstLine="720"/>
        <w:jc w:val="left"/>
      </w:pPr>
      <w:r>
        <w:rPr>
          <w:rFonts w:ascii="Times New Roman" w:cs="Times New Roman" w:eastAsia="Times New Roman" w:hAnsi="Times New Roman"/>
          <w:sz w:val="24"/>
          <w:szCs w:val="24"/>
        </w:rPr>
        <w:t xml:space="preserve">Large Language Models (LLMs) offer an alternative: agents that reason in natural language, interpret context, and produce heterogeneous responses to identical stimuli (Park et al., 2023; Aher et al., 2023). However, deploying LLMs as agents in scientific simulations introduces fundamental reliability challenges. LLM agents exhibit what we term “behavioral hallucinations”—decisions that are linguistically fluent but physically impossible, logically inconsistent, or contextually inappropriate. In flood simulations, a small LLM (4B parameters) without governance generates panic relocations under low-threat conditions at rates exceeding 40%, rendering simulation outputs scientifically invalid. Over multi-year horizons, unconstrained LLM agents suffer mode collapse, converging to a single dominant action and losing the population-level diversity essential for meaningful ABM analysis (Shumailov et al., 2024).</w:t>
      </w:r>
    </w:p>
    <w:p>
      <w:pPr>
        <w:spacing w:line="480" w:after="0"/>
        <w:ind w:firstLine="720"/>
        <w:jc w:val="left"/>
      </w:pPr>
      <w:r>
        <w:rPr>
          <w:rFonts w:ascii="Times New Roman" w:cs="Times New Roman" w:eastAsia="Times New Roman" w:hAnsi="Times New Roman"/>
          <w:sz w:val="24"/>
          <w:szCs w:val="24"/>
        </w:rPr>
        <w:t xml:space="preserve">No existing middleware bridges this gap for water-domain ABMs. Cognitive architecture frameworks such as CoALA (Sumers et al., 2023) provide theoretical foundations for language agent design but lack domain-specific validation or governance mechanisms. Coupled human-water modeling packages such as HydroCNHS (Lin et al., 2022) provide physical coupling between human and natural systems but rely on rule-based agent logic. LLM-driven water distribution network tools demonstrate the potential of language models in water engineering but do not address long-horizon behavioral consistency or memory.</w:t>
      </w:r>
    </w:p>
    <w:p>
      <w:pPr>
        <w:spacing w:line="480" w:after="0"/>
        <w:ind w:firstLine="720"/>
        <w:jc w:val="left"/>
      </w:pPr>
      <w:r>
        <w:rPr>
          <w:rFonts w:ascii="Times New Roman" w:cs="Times New Roman" w:eastAsia="Times New Roman" w:hAnsi="Times New Roman"/>
          <w:sz w:val="24"/>
          <w:szCs w:val="24"/>
        </w:rPr>
        <w:t xml:space="preserve">In this paper, we present the Governed Broker Framework (GBF), a Python middleware for deploying LLM agents in water-domain simulations with skill-based cognitive governance. The framework implements three contributions:</w:t>
      </w:r>
    </w:p>
    <w:p>
      <w:pPr>
        <w:spacing w:line="480" w:after="0"/>
        <w:ind w:firstLine="720"/>
        <w:jc w:val="left"/>
      </w:pPr>
      <w:r>
        <w:rPr>
          <w:rFonts w:ascii="Times New Roman" w:cs="Times New Roman" w:eastAsia="Times New Roman" w:hAnsi="Times New Roman"/>
          <w:sz w:val="24"/>
          <w:szCs w:val="24"/>
        </w:rPr>
        <w:t xml:space="preserve">First, we introduce a three-layer governance architecture that separates LLM reasoning (System 1) from validated execution (System 2), enabling small language models to achieve behavioral validity comparable to much larger models. The governance pipeline validates agent decisions against domain-specific physical constraints, behavioral theory (Protection Motivation Theory; Rogers, 1975), and social consistency rules through configuration-driven skill registries.</w:t>
      </w:r>
    </w:p>
    <w:p>
      <w:pPr>
        <w:spacing w:line="480" w:after="0"/>
        <w:ind w:firstLine="720"/>
        <w:jc w:val="left"/>
      </w:pPr>
      <w:r>
        <w:rPr>
          <w:rFonts w:ascii="Times New Roman" w:cs="Times New Roman" w:eastAsia="Times New Roman" w:hAnsi="Times New Roman"/>
          <w:sz w:val="24"/>
          <w:szCs w:val="24"/>
        </w:rPr>
        <w:t xml:space="preserve">Second, we validate the framework through a flood household adaptation experiment using 100 agents over 10 simulated years across three model scales (Gemma 3 4B, 12B, and 27B). A three-group ablation study (raw LLM, governance only, governance with memory) demonstrates an “improvement hierarchy” where graduated levels of cognitive governance progressively enhance agent reliability. We introduce the concept of “cognitive lifespan”—the duration over which an agent population maintains functional decision diversity—as a metric for long-horizon simulation validity.</w:t>
      </w:r>
    </w:p>
    <w:p>
      <w:pPr>
        <w:spacing w:line="480" w:after="0"/>
        <w:ind w:firstLine="720"/>
        <w:jc w:val="left"/>
      </w:pPr>
      <w:r>
        <w:rPr>
          <w:rFonts w:ascii="Times New Roman" w:cs="Times New Roman" w:eastAsia="Times New Roman" w:hAnsi="Times New Roman"/>
          <w:sz w:val="24"/>
          <w:szCs w:val="24"/>
        </w:rPr>
        <w:t xml:space="preserve">Third, we demonstrate framework extensibility through domain transfer from flood adaptation to irrigation water management, where 78 agents from the Colorado River Simulation System (CRSS) database (Hung &amp; Yang, 2021) operate under the same governance architecture with only configuration-level changes.</w:t>
      </w:r>
    </w:p>
    <w:p>
      <w:pPr>
        <w:spacing w:line="480" w:before="360" w:after="120"/>
      </w:pPr>
      <w:r>
        <w:rPr>
          <w:rFonts w:ascii="Times New Roman" w:cs="Times New Roman" w:eastAsia="Times New Roman" w:hAnsi="Times New Roman"/>
          <w:b/>
          <w:bCs/>
          <w:sz w:val="28"/>
          <w:szCs w:val="28"/>
        </w:rPr>
        <w:t xml:space="preserve">2 Framework Architecture</w:t>
      </w:r>
    </w:p>
    <w:p>
      <w:pPr>
        <w:spacing w:line="480" w:before="240" w:after="120"/>
      </w:pPr>
      <w:r>
        <w:rPr>
          <w:rFonts w:ascii="Times New Roman" w:cs="Times New Roman" w:eastAsia="Times New Roman" w:hAnsi="Times New Roman"/>
          <w:b/>
          <w:bCs/>
          <w:i/>
          <w:iCs/>
          <w:sz w:val="26"/>
          <w:szCs w:val="26"/>
        </w:rPr>
        <w:t xml:space="preserve">2.1 Three-Layer Design</w:t>
      </w:r>
    </w:p>
    <w:p>
      <w:pPr>
        <w:spacing w:line="480" w:after="0"/>
        <w:ind w:firstLine="720"/>
        <w:jc w:val="left"/>
      </w:pPr>
      <w:r>
        <w:rPr>
          <w:rFonts w:ascii="Times New Roman" w:cs="Times New Roman" w:eastAsia="Times New Roman" w:hAnsi="Times New Roman"/>
          <w:sz w:val="24"/>
          <w:szCs w:val="24"/>
        </w:rPr>
        <w:t xml:space="preserve">The Governed Broker Framework implements a three-layer cognitive architecture inspired by dual-process theory (Kahneman, 2011). Layer 1 (LLM Engine) provides fast, intuitive reasoning—System 1 cognition—through a local language model (e.g., Gemma 3 via Ollama). The LLM receives structured context (agent state, environmental observations, social information, memory) and produces a natural-language decision proposal including threat appraisal, coping appraisal, and action selection. Layer 2 (Governed Broker) implements deliberative validation—System 2 cognition—through a rule-based governance pipeline that intercepts, validates, and if necessary rejects the LLM’s proposal. This layer operates entirely outside the LLM’s context window, ensuring that governance logic cannot be circumvented by prompt manipulation. Layer 3 (Simulation Environment) models the physical water system, applying validated decisions to update agent and environmental state. This separation ensures that the LLM contributes cognitive richness while the broker guarantees scientific validity.</w:t>
      </w:r>
    </w:p>
    <w:p>
      <w:pPr>
        <w:spacing w:line="480" w:before="240" w:after="120"/>
      </w:pPr>
      <w:r>
        <w:rPr>
          <w:rFonts w:ascii="Times New Roman" w:cs="Times New Roman" w:eastAsia="Times New Roman" w:hAnsi="Times New Roman"/>
          <w:b/>
          <w:bCs/>
          <w:i/>
          <w:iCs/>
          <w:sz w:val="26"/>
          <w:szCs w:val="26"/>
        </w:rPr>
        <w:t xml:space="preserve">2.2 Skill-Based Governance Pipeline</w:t>
      </w:r>
    </w:p>
    <w:p>
      <w:pPr>
        <w:spacing w:line="480" w:after="0"/>
        <w:ind w:firstLine="720"/>
        <w:jc w:val="left"/>
      </w:pPr>
      <w:r>
        <w:rPr>
          <w:rFonts w:ascii="Times New Roman" w:cs="Times New Roman" w:eastAsia="Times New Roman" w:hAnsi="Times New Roman"/>
          <w:sz w:val="24"/>
          <w:szCs w:val="24"/>
        </w:rPr>
        <w:t xml:space="preserve">The governance pipeline processes each agent decision through a structured sequence: SkillProposal → SkillRegistry → Validators → ApprovedSkill → Execution. The SkillRegistry defines the complete set of permissible actions for a given domain as a YAML configuration file. For flood adaptation, the registry includes: do_nothing, buy_insurance, elevate_house, and relocate. For irrigation management: increase_demand, decrease_demand, adopt_efficiency, reduce_acreage, and maintain_demand. Each skill specifies preconditions, postconditions, and validation rules.</w:t>
      </w:r>
    </w:p>
    <w:p>
      <w:pPr>
        <w:spacing w:line="480" w:after="0"/>
        <w:ind w:firstLine="720"/>
        <w:jc w:val="left"/>
      </w:pPr>
      <w:r>
        <w:rPr>
          <w:rFonts w:ascii="Times New Roman" w:cs="Times New Roman" w:eastAsia="Times New Roman" w:hAnsi="Times New Roman"/>
          <w:sz w:val="24"/>
          <w:szCs w:val="24"/>
        </w:rPr>
        <w:t xml:space="preserve">Validators are organized into four categories. Physical validators enforce environmental constraints (e.g., an agent cannot elevate a house that is already elevated; an irrigator cannot increase demand beyond allocation limits). Personal validators check consistency between the agent’s stated threat/coping appraisal and selected action, operationalizing Protection Motivation Theory (Rogers, 1975). Social validators assess whether decisions are consistent with observed neighborhood behavior. Semantic validators verify that the LLM’s natural-language reasoning is internally coherent with its numerical outputs.</w:t>
      </w:r>
    </w:p>
    <w:p>
      <w:pPr>
        <w:spacing w:line="480" w:after="0"/>
        <w:ind w:firstLine="720"/>
        <w:jc w:val="left"/>
      </w:pPr>
      <w:r>
        <w:rPr>
          <w:rFonts w:ascii="Times New Roman" w:cs="Times New Roman" w:eastAsia="Times New Roman" w:hAnsi="Times New Roman"/>
          <w:sz w:val="24"/>
          <w:szCs w:val="24"/>
        </w:rPr>
        <w:t xml:space="preserve">When a proposal fails validation, the broker generates an InterventionReport explaining the specific violation and re-prompts the LLM with corrective feedback. This “reject-retry” loop typically resolves within 1–2 iterations. The entire exchange is logged in a structured audit trail for reproducibility.</w:t>
      </w:r>
    </w:p>
    <w:p>
      <w:pPr>
        <w:spacing w:line="480" w:before="240" w:after="120"/>
      </w:pPr>
      <w:r>
        <w:rPr>
          <w:rFonts w:ascii="Times New Roman" w:cs="Times New Roman" w:eastAsia="Times New Roman" w:hAnsi="Times New Roman"/>
          <w:b/>
          <w:bCs/>
          <w:i/>
          <w:iCs/>
          <w:sz w:val="26"/>
          <w:szCs w:val="26"/>
        </w:rPr>
        <w:t xml:space="preserve">2.3 Memory Architecture</w:t>
      </w:r>
    </w:p>
    <w:p>
      <w:pPr>
        <w:spacing w:line="480" w:after="0"/>
        <w:ind w:firstLine="720"/>
        <w:jc w:val="left"/>
      </w:pPr>
      <w:r>
        <w:rPr>
          <w:rFonts w:ascii="Times New Roman" w:cs="Times New Roman" w:eastAsia="Times New Roman" w:hAnsi="Times New Roman"/>
          <w:sz w:val="24"/>
          <w:szCs w:val="24"/>
        </w:rPr>
        <w:t xml:space="preserve">Long-horizon simulations require agents to maintain consistent behavior over multiple decision cycles. GBF provides two memory engine configurations:</w:t>
      </w:r>
    </w:p>
    <w:p>
      <w:pPr>
        <w:spacing w:line="480" w:after="0"/>
        <w:ind w:firstLine="720"/>
        <w:jc w:val="left"/>
      </w:pPr>
      <w:r>
        <w:rPr>
          <w:rFonts w:ascii="Times New Roman" w:cs="Times New Roman" w:eastAsia="Times New Roman" w:hAnsi="Times New Roman"/>
          <w:b/>
          <w:bCs/>
          <w:sz w:val="24"/>
          <w:szCs w:val="24"/>
        </w:rPr>
        <w:t xml:space="preserve">Window Memory (Level 1): </w:t>
      </w:r>
      <w:r>
        <w:rPr>
          <w:rFonts w:ascii="Times New Roman" w:cs="Times New Roman" w:eastAsia="Times New Roman" w:hAnsi="Times New Roman"/>
          <w:sz w:val="24"/>
          <w:szCs w:val="24"/>
        </w:rPr>
        <w:t xml:space="preserve">A sliding window of the k most recent decisions, providing recency-weighted context without importance weighting. This serves as the baseline memory configuration for ablation studies.</w:t>
      </w:r>
    </w:p>
    <w:p>
      <w:pPr>
        <w:spacing w:line="480" w:after="0"/>
        <w:ind w:firstLine="720"/>
        <w:jc w:val="left"/>
      </w:pPr>
      <w:r>
        <w:rPr>
          <w:rFonts w:ascii="Times New Roman" w:cs="Times New Roman" w:eastAsia="Times New Roman" w:hAnsi="Times New Roman"/>
          <w:b/>
          <w:bCs/>
          <w:sz w:val="24"/>
          <w:szCs w:val="24"/>
        </w:rPr>
        <w:t xml:space="preserve">Human-Centric Memory (Level 2): </w:t>
      </w:r>
      <w:r>
        <w:rPr>
          <w:rFonts w:ascii="Times New Roman" w:cs="Times New Roman" w:eastAsia="Times New Roman" w:hAnsi="Times New Roman"/>
          <w:sz w:val="24"/>
          <w:szCs w:val="24"/>
        </w:rPr>
        <w:t xml:space="preserve">An importance-weighted memory system inspired by cognitive science. Memories are scored by emotional salience (flood events receive higher importance than routine years), source credibility (personal experience weighted above social observation), and contextual relevance to the current decision. A reflection engine consolidates yearly experiences into generalized insights (e.g., “Insurance has protected my savings twice”) that persist with high retrieval priority.</w:t>
      </w:r>
    </w:p>
    <w:p>
      <w:pPr>
        <w:spacing w:line="480" w:after="0"/>
        <w:ind w:firstLine="720"/>
        <w:jc w:val="left"/>
      </w:pPr>
      <w:r>
        <w:rPr>
          <w:rFonts w:ascii="Times New Roman" w:cs="Times New Roman" w:eastAsia="Times New Roman" w:hAnsi="Times New Roman"/>
          <w:sz w:val="24"/>
          <w:szCs w:val="24"/>
        </w:rPr>
        <w:t xml:space="preserve">Memory configuration is specified in YAML alongside skill registries, enabling different memory strategies to be tested through configuration changes alone.</w:t>
      </w:r>
    </w:p>
    <w:p>
      <w:pPr>
        <w:spacing w:line="480" w:before="240" w:after="120"/>
      </w:pPr>
      <w:r>
        <w:rPr>
          <w:rFonts w:ascii="Times New Roman" w:cs="Times New Roman" w:eastAsia="Times New Roman" w:hAnsi="Times New Roman"/>
          <w:b/>
          <w:bCs/>
          <w:i/>
          <w:iCs/>
          <w:sz w:val="26"/>
          <w:szCs w:val="26"/>
        </w:rPr>
        <w:t xml:space="preserve">2.4 Configuration-Driven Extension</w:t>
      </w:r>
    </w:p>
    <w:p>
      <w:pPr>
        <w:spacing w:line="480" w:after="0"/>
        <w:ind w:firstLine="720"/>
        <w:jc w:val="left"/>
      </w:pPr>
      <w:r>
        <w:rPr>
          <w:rFonts w:ascii="Times New Roman" w:cs="Times New Roman" w:eastAsia="Times New Roman" w:hAnsi="Times New Roman"/>
          <w:sz w:val="24"/>
          <w:szCs w:val="24"/>
        </w:rPr>
        <w:t xml:space="preserve">Adding a new water sub-domain requires three components: (1) a skill registry YAML defining permissible actions, (2) domain-specific validators implementing physical and behavioral constraints, and (3) a simulation environment managing state transitions. The core broker components (ExperimentBuilder, SkillBrokerEngine, memory engines, audit system) are shared across domains. We demonstrate this extensibility through the flood-to-irrigation transfer in Section 4.</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color w:val="888888"/>
          <w:sz w:val="24"/>
          <w:szCs w:val="24"/>
        </w:rPr>
        <w:t xml:space="preserve">[FIGURE 1: Architecture diagram showing three-layer design with governance pipeline.]</w:t>
      </w:r>
    </w:p>
    <w:p>
      <w:pPr>
        <w:spacing w:line="480" w:after="0"/>
        <w:jc w:val="center"/>
      </w:pPr>
      <w:r>
        <w:rPr>
          <w:rFonts w:ascii="Times New Roman" w:cs="Times New Roman" w:eastAsia="Times New Roman" w:hAnsi="Times New Roman"/>
          <w:i/>
          <w:iCs/>
          <w:color w:val="888888"/>
          <w:sz w:val="24"/>
          <w:szCs w:val="24"/>
        </w:rPr>
        <w:t xml:space="preserve">[Left: flood domain instantiation. Right: irrigation domain instantiation.]</w:t>
      </w:r>
    </w:p>
    <w:p>
      <w:pPr>
        <w:spacing w:line="480" w:before="360" w:after="120"/>
      </w:pPr>
      <w:r>
        <w:rPr>
          <w:rFonts w:ascii="Times New Roman" w:cs="Times New Roman" w:eastAsia="Times New Roman" w:hAnsi="Times New Roman"/>
          <w:b/>
          <w:bCs/>
          <w:sz w:val="28"/>
          <w:szCs w:val="28"/>
        </w:rPr>
        <w:t xml:space="preserve">3 Case Study 1: Flood Household Adaptation</w:t>
      </w:r>
    </w:p>
    <w:p>
      <w:pPr>
        <w:spacing w:line="480" w:before="240" w:after="120"/>
      </w:pPr>
      <w:r>
        <w:rPr>
          <w:rFonts w:ascii="Times New Roman" w:cs="Times New Roman" w:eastAsia="Times New Roman" w:hAnsi="Times New Roman"/>
          <w:b/>
          <w:bCs/>
          <w:i/>
          <w:iCs/>
          <w:sz w:val="26"/>
          <w:szCs w:val="26"/>
        </w:rPr>
        <w:t xml:space="preserve">3.1 Experimental Setup</w:t>
      </w:r>
    </w:p>
    <w:p>
      <w:pPr>
        <w:spacing w:line="480" w:after="0"/>
        <w:ind w:firstLine="720"/>
        <w:jc w:val="left"/>
      </w:pPr>
      <w:r>
        <w:rPr>
          <w:rFonts w:ascii="Times New Roman" w:cs="Times New Roman" w:eastAsia="Times New Roman" w:hAnsi="Times New Roman"/>
          <w:sz w:val="24"/>
          <w:szCs w:val="24"/>
        </w:rPr>
        <w:t xml:space="preserve">We simulate 100 household agents making annual adaptation decisions over a 10-year period with a fixed flood schedule (flood events in Years 3 and 8). Each agent is characterized by income, savings, flood zone, elevation status, insurance status, and cognitive attributes (risk tolerance, trust in insurance, trust in neighbors). Agent decisions are grounded in Protection Motivation Theory (Rogers, 1975): each year, the agent evaluates threat appraisal (perceived severity and vulnerability) and coping appraisal (response efficacy and self-efficacy) before selecting from four actions: do nothing, purchase flood insurance, elevate house, or relocate. A fifth state, “already relocated,” removes agents from the active decision pool.</w:t>
      </w:r>
    </w:p>
    <w:p>
      <w:pPr>
        <w:spacing w:line="480" w:after="0"/>
        <w:ind w:firstLine="720"/>
        <w:jc w:val="left"/>
      </w:pPr>
      <w:r>
        <w:rPr>
          <w:rFonts w:ascii="Times New Roman" w:cs="Times New Roman" w:eastAsia="Times New Roman" w:hAnsi="Times New Roman"/>
          <w:sz w:val="24"/>
          <w:szCs w:val="24"/>
        </w:rPr>
        <w:t xml:space="preserve">We evaluate three experimental groups across three model scales (Gemma 3 4B, 12B, and 27B):</w:t>
      </w:r>
    </w:p>
    <w:p>
      <w:pPr>
        <w:spacing w:line="480" w:after="0"/>
        <w:ind w:firstLine="720"/>
        <w:jc w:val="left"/>
      </w:pPr>
      <w:r>
        <w:rPr>
          <w:rFonts w:ascii="Times New Roman" w:cs="Times New Roman" w:eastAsia="Times New Roman" w:hAnsi="Times New Roman"/>
          <w:b/>
          <w:bCs/>
          <w:sz w:val="24"/>
          <w:szCs w:val="24"/>
        </w:rPr>
        <w:t xml:space="preserve">Group A (Raw LLM): </w:t>
      </w:r>
      <w:r>
        <w:rPr>
          <w:rFonts w:ascii="Times New Roman" w:cs="Times New Roman" w:eastAsia="Times New Roman" w:hAnsi="Times New Roman"/>
          <w:sz w:val="24"/>
          <w:szCs w:val="24"/>
        </w:rPr>
        <w:t xml:space="preserve">No governance, no memory. The LLM receives environmental context and produces decisions without validation.</w:t>
      </w:r>
    </w:p>
    <w:p>
      <w:pPr>
        <w:spacing w:line="480" w:after="0"/>
        <w:ind w:firstLine="720"/>
        <w:jc w:val="left"/>
      </w:pPr>
      <w:r>
        <w:rPr>
          <w:rFonts w:ascii="Times New Roman" w:cs="Times New Roman" w:eastAsia="Times New Roman" w:hAnsi="Times New Roman"/>
          <w:b/>
          <w:bCs/>
          <w:sz w:val="24"/>
          <w:szCs w:val="24"/>
        </w:rPr>
        <w:t xml:space="preserve">Group B (Governance): </w:t>
      </w:r>
      <w:r>
        <w:rPr>
          <w:rFonts w:ascii="Times New Roman" w:cs="Times New Roman" w:eastAsia="Times New Roman" w:hAnsi="Times New Roman"/>
          <w:sz w:val="24"/>
          <w:szCs w:val="24"/>
        </w:rPr>
        <w:t xml:space="preserve">Skill-based governance with window memory. Invalid decisions are rejected and re-prompted.</w:t>
      </w:r>
    </w:p>
    <w:p>
      <w:pPr>
        <w:spacing w:line="480" w:after="0"/>
        <w:ind w:firstLine="720"/>
        <w:jc w:val="left"/>
      </w:pPr>
      <w:r>
        <w:rPr>
          <w:rFonts w:ascii="Times New Roman" w:cs="Times New Roman" w:eastAsia="Times New Roman" w:hAnsi="Times New Roman"/>
          <w:b/>
          <w:bCs/>
          <w:sz w:val="24"/>
          <w:szCs w:val="24"/>
        </w:rPr>
        <w:t xml:space="preserve">Group C (Governance + Memory): </w:t>
      </w:r>
      <w:r>
        <w:rPr>
          <w:rFonts w:ascii="Times New Roman" w:cs="Times New Roman" w:eastAsia="Times New Roman" w:hAnsi="Times New Roman"/>
          <w:sz w:val="24"/>
          <w:szCs w:val="24"/>
        </w:rPr>
        <w:t xml:space="preserve">Full governance with human-centric memory and priority schema. Agents accumulate weighted experiences and reflections.</w:t>
      </w:r>
    </w:p>
    <w:p>
      <w:pPr>
        <w:spacing w:line="480" w:before="240" w:after="120"/>
      </w:pPr>
      <w:r>
        <w:rPr>
          <w:rFonts w:ascii="Times New Roman" w:cs="Times New Roman" w:eastAsia="Times New Roman" w:hAnsi="Times New Roman"/>
          <w:b/>
          <w:bCs/>
          <w:i/>
          <w:iCs/>
          <w:sz w:val="26"/>
          <w:szCs w:val="26"/>
        </w:rPr>
        <w:t xml:space="preserve">3.2 Decision Diversity and Mode Collapse</w:t>
      </w:r>
    </w:p>
    <w:p>
      <w:pPr>
        <w:spacing w:line="480" w:after="0"/>
        <w:ind w:firstLine="720"/>
        <w:jc w:val="left"/>
      </w:pPr>
      <w:r>
        <w:rPr>
          <w:rFonts w:ascii="Times New Roman" w:cs="Times New Roman" w:eastAsia="Times New Roman" w:hAnsi="Times New Roman"/>
          <w:sz w:val="24"/>
          <w:szCs w:val="24"/>
        </w:rPr>
        <w:t xml:space="preserve">We quantify population-level behavioral diversity using normalized Shannon entropy (H_norm = H / log₂(5)), where 5 represents the number of active decision categories. This metric ranges from 0 (all agents select the same action) to 1 (perfectly uniform distribution across actions).</w:t>
      </w:r>
    </w:p>
    <w:p>
      <w:pPr>
        <w:spacing w:line="480" w:after="0"/>
        <w:ind w:firstLine="720"/>
        <w:jc w:val="left"/>
      </w:pPr>
      <w:r>
        <w:rPr>
          <w:rFonts w:ascii="Times New Roman" w:cs="Times New Roman" w:eastAsia="Times New Roman" w:hAnsi="Times New Roman"/>
          <w:sz w:val="24"/>
          <w:szCs w:val="24"/>
        </w:rPr>
        <w:t xml:space="preserve">For Gemma 3 4B, the smallest model shows the clearest governance differentiation. Group A maintains moderate entropy (H_norm = 0.44–0.74) but locks into “Do Nothing” as the dominant action (55–72% frequency), representing a passive mode where agents fail to respond to flood events. Group B demonstrates the strongest diversity response, with entropy peaking at H_norm = 0.80 during mid-simulation years as governance enables agents to explore the full action space. Group C shows intermediate diversity (H_norm = 0.38–0.64) with “Elevation” emerging as the dominant adaptive strategy—indicating that memory creates consistent learning trajectories rather than maximizing diversity.</w:t>
      </w:r>
    </w:p>
    <w:p>
      <w:pPr>
        <w:spacing w:line="480" w:after="0"/>
        <w:ind w:firstLine="720"/>
        <w:jc w:val="left"/>
      </w:pPr>
      <w:r>
        <w:rPr>
          <w:rFonts w:ascii="Times New Roman" w:cs="Times New Roman" w:eastAsia="Times New Roman" w:hAnsi="Times New Roman"/>
          <w:sz w:val="24"/>
          <w:szCs w:val="24"/>
        </w:rPr>
        <w:t xml:space="preserve">For Gemma 3 12B, a striking conformity cascade emerges: ALL three groups converge to “Both Insurance and Elevation” by Year 4–5, with entropy collapsing to H_norm &lt; 0.15. Root cause analysis reveals that the social observation mechanism—which injects the percentage of neighbors who have elevated their homes—creates a positive feedback loop. As early adopters elevate (4% in Year 1), the observation propagates (10% → 34% → 63% → 92% → 100%), creating irresistible social proof that overwhelms both the 12B model’s independent reasoning and the governance layer’s diversity-preserving effects. The 4B model is too noisy to follow this cascade consistently; the 27B model maintains independent reasoning despite social pressure.</w:t>
      </w:r>
    </w:p>
    <w:p>
      <w:pPr>
        <w:spacing w:line="480" w:after="0"/>
        <w:ind w:firstLine="720"/>
        <w:jc w:val="left"/>
      </w:pPr>
      <w:r>
        <w:rPr>
          <w:rFonts w:ascii="Times New Roman" w:cs="Times New Roman" w:eastAsia="Times New Roman" w:hAnsi="Times New Roman"/>
          <w:sz w:val="24"/>
          <w:szCs w:val="24"/>
        </w:rPr>
        <w:t xml:space="preserve">For Gemma 3 27B (Group A only, Groups B/C pending), the largest model maintains moderate entropy (H_norm = 0.30–0.70) without governance, with “Do Nothing” as the dominant action but no collapse—suggesting natural behavioral alignment that requires minimal governance intervention.</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color w:val="888888"/>
          <w:sz w:val="24"/>
          <w:szCs w:val="24"/>
        </w:rPr>
        <w:t xml:space="preserve">[TABLE 1: Comparative metrics across model size × group]</w:t>
      </w:r>
    </w:p>
    <w:p>
      <w:pPr>
        <w:spacing w:line="480" w:after="0"/>
        <w:jc w:val="center"/>
      </w:pPr>
      <w:r>
        <w:rPr>
          <w:rFonts w:ascii="Times New Roman" w:cs="Times New Roman" w:eastAsia="Times New Roman" w:hAnsi="Times New Roman"/>
          <w:i/>
          <w:iCs/>
          <w:color w:val="888888"/>
          <w:sz w:val="24"/>
          <w:szCs w:val="24"/>
        </w:rPr>
        <w:t xml:space="preserve">[Include: mean H_norm, cognitive lifespan, dominant action, convergence year]</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color w:val="888888"/>
          <w:sz w:val="24"/>
          <w:szCs w:val="24"/>
        </w:rPr>
        <w:t xml:space="preserve">[FIGURE 2: Trigger validation rates (SQ1) — DATA PENDING]</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color w:val="888888"/>
          <w:sz w:val="24"/>
          <w:szCs w:val="24"/>
        </w:rPr>
        <w:t xml:space="preserve">[FIGURE 3: Entropy trajectory — multi-panel H_norm over Years 1–10]</w:t>
      </w:r>
    </w:p>
    <w:p>
      <w:pPr>
        <w:spacing w:line="480" w:before="240" w:after="120"/>
      </w:pPr>
      <w:r>
        <w:rPr>
          <w:rFonts w:ascii="Times New Roman" w:cs="Times New Roman" w:eastAsia="Times New Roman" w:hAnsi="Times New Roman"/>
          <w:b/>
          <w:bCs/>
          <w:i/>
          <w:iCs/>
          <w:sz w:val="26"/>
          <w:szCs w:val="26"/>
        </w:rPr>
        <w:t xml:space="preserve">3.3 Improvement Hierarchy</w:t>
      </w:r>
    </w:p>
    <w:p>
      <w:pPr>
        <w:spacing w:line="480" w:after="0"/>
        <w:ind w:firstLine="720"/>
        <w:jc w:val="left"/>
      </w:pPr>
      <w:r>
        <w:rPr>
          <w:rFonts w:ascii="Times New Roman" w:cs="Times New Roman" w:eastAsia="Times New Roman" w:hAnsi="Times New Roman"/>
          <w:sz w:val="24"/>
          <w:szCs w:val="24"/>
        </w:rPr>
        <w:t xml:space="preserve">These results support an “improvement hierarchy” for LLM agent governance in water-domain ABMs:</w:t>
      </w:r>
    </w:p>
    <w:p>
      <w:pPr>
        <w:spacing w:line="480" w:after="0"/>
        <w:ind w:firstLine="720"/>
        <w:jc w:val="left"/>
      </w:pPr>
      <w:r>
        <w:rPr>
          <w:rFonts w:ascii="Times New Roman" w:cs="Times New Roman" w:eastAsia="Times New Roman" w:hAnsi="Times New Roman"/>
          <w:b/>
          <w:bCs/>
          <w:sz w:val="24"/>
          <w:szCs w:val="24"/>
        </w:rPr>
        <w:t xml:space="preserve">Level 0 (Raw LLM): </w:t>
      </w:r>
      <w:r>
        <w:rPr>
          <w:rFonts w:ascii="Times New Roman" w:cs="Times New Roman" w:eastAsia="Times New Roman" w:hAnsi="Times New Roman"/>
          <w:sz w:val="24"/>
          <w:szCs w:val="24"/>
        </w:rPr>
        <w:t xml:space="preserve">Unreliable. Small models exhibit hallucinations (Do Nothing lock in 4B) or conformity cascades (Both lock in 12B). Only large models (27B) maintain functional diversity without governance.</w:t>
      </w:r>
    </w:p>
    <w:p>
      <w:pPr>
        <w:spacing w:line="480" w:after="0"/>
        <w:ind w:firstLine="720"/>
        <w:jc w:val="left"/>
      </w:pPr>
      <w:r>
        <w:rPr>
          <w:rFonts w:ascii="Times New Roman" w:cs="Times New Roman" w:eastAsia="Times New Roman" w:hAnsi="Times New Roman"/>
          <w:b/>
          <w:bCs/>
          <w:sz w:val="24"/>
          <w:szCs w:val="24"/>
        </w:rPr>
        <w:t xml:space="preserve">Level 1 (Governance): </w:t>
      </w:r>
      <w:r>
        <w:rPr>
          <w:rFonts w:ascii="Times New Roman" w:cs="Times New Roman" w:eastAsia="Times New Roman" w:hAnsi="Times New Roman"/>
          <w:sz w:val="24"/>
          <w:szCs w:val="24"/>
        </w:rPr>
        <w:t xml:space="preserve">Effective for suppressing invalid actions. For 4B, governance enables agents to explore the full action space (H_norm peaks at 0.80). For 12B, governance alone cannot overcome the social observation feedback loop.</w:t>
      </w:r>
    </w:p>
    <w:p>
      <w:pPr>
        <w:spacing w:line="480" w:after="0"/>
        <w:ind w:firstLine="720"/>
        <w:jc w:val="left"/>
      </w:pPr>
      <w:r>
        <w:rPr>
          <w:rFonts w:ascii="Times New Roman" w:cs="Times New Roman" w:eastAsia="Times New Roman" w:hAnsi="Times New Roman"/>
          <w:b/>
          <w:bCs/>
          <w:sz w:val="24"/>
          <w:szCs w:val="24"/>
        </w:rPr>
        <w:t xml:space="preserve">Level 2 (Governance + Memory): </w:t>
      </w:r>
      <w:r>
        <w:rPr>
          <w:rFonts w:ascii="Times New Roman" w:cs="Times New Roman" w:eastAsia="Times New Roman" w:hAnsi="Times New Roman"/>
          <w:sz w:val="24"/>
          <w:szCs w:val="24"/>
        </w:rPr>
        <w:t xml:space="preserve">Enables learning trajectories. For 4B, memory produces consistent adaptation patterns rather than random exploration. For 12B, memory does not resolve the conformity cascade—the social feedback overwhelms both governance and memory.</w:t>
      </w:r>
    </w:p>
    <w:p>
      <w:pPr>
        <w:spacing w:line="480" w:after="0"/>
        <w:ind w:firstLine="720"/>
        <w:jc w:val="left"/>
      </w:pPr>
      <w:r>
        <w:rPr>
          <w:rFonts w:ascii="Times New Roman" w:cs="Times New Roman" w:eastAsia="Times New Roman" w:hAnsi="Times New Roman"/>
          <w:b/>
          <w:bCs/>
          <w:sz w:val="24"/>
          <w:szCs w:val="24"/>
        </w:rPr>
        <w:t xml:space="preserve">Level 3 (Future: Embedding + Reflection): </w:t>
      </w:r>
      <w:r>
        <w:rPr>
          <w:rFonts w:ascii="Times New Roman" w:cs="Times New Roman" w:eastAsia="Times New Roman" w:hAnsi="Times New Roman"/>
          <w:sz w:val="24"/>
          <w:szCs w:val="24"/>
        </w:rPr>
        <w:t xml:space="preserve">The 12B conformity cascade identifies the boundary of Level 2 governance and motivates embedding-based memory retrieval with diversity-aware reflection as a future architectural extension.</w:t>
      </w:r>
    </w:p>
    <w:p>
      <w:pPr>
        <w:spacing w:line="480" w:before="360" w:after="120"/>
      </w:pPr>
      <w:r>
        <w:rPr>
          <w:rFonts w:ascii="Times New Roman" w:cs="Times New Roman" w:eastAsia="Times New Roman" w:hAnsi="Times New Roman"/>
          <w:b/>
          <w:bCs/>
          <w:sz w:val="28"/>
          <w:szCs w:val="28"/>
        </w:rPr>
        <w:t xml:space="preserve">4 Case Study 2: Irrigation Water Management</w:t>
      </w:r>
    </w:p>
    <w:p>
      <w:pPr>
        <w:spacing w:line="480" w:before="240" w:after="120"/>
      </w:pPr>
      <w:r>
        <w:rPr>
          <w:rFonts w:ascii="Times New Roman" w:cs="Times New Roman" w:eastAsia="Times New Roman" w:hAnsi="Times New Roman"/>
          <w:b/>
          <w:bCs/>
          <w:i/>
          <w:iCs/>
          <w:sz w:val="26"/>
          <w:szCs w:val="26"/>
        </w:rPr>
        <w:t xml:space="preserve">4.1 Domain Transfer</w:t>
      </w:r>
    </w:p>
    <w:p>
      <w:pPr>
        <w:spacing w:line="480" w:after="0"/>
        <w:ind w:firstLine="720"/>
        <w:jc w:val="left"/>
      </w:pPr>
      <w:r>
        <w:rPr>
          <w:rFonts w:ascii="Times New Roman" w:cs="Times New Roman" w:eastAsia="Times New Roman" w:hAnsi="Times New Roman"/>
          <w:sz w:val="24"/>
          <w:szCs w:val="24"/>
        </w:rPr>
        <w:t xml:space="preserve">To demonstrate framework extensibility, we transfer the governance architecture from flood adaptation to irrigation water management. We use 78 irrigation agents from the Colorado River Simulation System (CRSS) database (Hung &amp; Yang, 2021), representing agricultural water users in the Upper Colorado River Basin. Each agent is characterized by historical diversion volume, irrigated acreage, crop type, and cluster membership.</w:t>
      </w:r>
    </w:p>
    <w:p>
      <w:pPr>
        <w:spacing w:line="480" w:after="0"/>
        <w:ind w:firstLine="720"/>
        <w:jc w:val="left"/>
      </w:pPr>
      <w:r>
        <w:rPr>
          <w:rFonts w:ascii="Times New Roman" w:cs="Times New Roman" w:eastAsia="Times New Roman" w:hAnsi="Times New Roman"/>
          <w:sz w:val="24"/>
          <w:szCs w:val="24"/>
        </w:rPr>
        <w:t xml:space="preserve">The irrigation skill registry defines five actions: increase_demand, decrease_demand, adopt_efficiency_technology, reduce_acreage, and maintain_current_demand. Governance validators enforce magnitude caps per cluster (limiting year-over-year demand changes to physically plausible ranges) and budget constraints. The memory system provides year-end regret feedback, comparing requested demand with actual allocated diversions.</w:t>
      </w:r>
    </w:p>
    <w:p>
      <w:pPr>
        <w:spacing w:line="480" w:before="240" w:after="120"/>
      </w:pPr>
      <w:r>
        <w:rPr>
          <w:rFonts w:ascii="Times New Roman" w:cs="Times New Roman" w:eastAsia="Times New Roman" w:hAnsi="Times New Roman"/>
          <w:b/>
          <w:bCs/>
          <w:i/>
          <w:iCs/>
          <w:sz w:val="26"/>
          <w:szCs w:val="26"/>
        </w:rPr>
        <w:t xml:space="preserve">4.2 Framework Reuse</w:t>
      </w:r>
    </w:p>
    <w:p>
      <w:pPr>
        <w:spacing w:line="480" w:after="0"/>
        <w:ind w:firstLine="720"/>
        <w:jc w:val="left"/>
      </w:pPr>
      <w:r>
        <w:rPr>
          <w:rFonts w:ascii="Times New Roman" w:cs="Times New Roman" w:eastAsia="Times New Roman" w:hAnsi="Times New Roman"/>
          <w:sz w:val="24"/>
          <w:szCs w:val="24"/>
        </w:rPr>
        <w:t xml:space="preserve">The domain transfer required creating only three new components: (1) an irrigation skill registry YAML (5 skills with preconditions), (2) irrigation-specific validators (magnitude cap, budget constraint), and (3) an IrrigationEnvironment class managing water allocation state. The core framework components—ExperimentBuilder, SkillBrokerEngine, memory engines, context builder, and audit system—required zero modification. This demonstrates that GBF’s configuration-driven architecture genuinely separates domain logic from governance logic.</w:t>
      </w:r>
    </w:p>
    <w:p>
      <w:pPr>
        <w:spacing w:line="480"/>
      </w:pPr>
      <w:r>
        <w:rPr>
          <w:rFonts w:ascii="Times New Roman" w:cs="Times New Roman" w:eastAsia="Times New Roman" w:hAnsi="Times New Roman"/>
          <w:sz w:val="24"/>
          <w:szCs w:val="24"/>
        </w:rPr>
        <w:t xml:space="preserve"/>
      </w:r>
    </w:p>
    <w:p>
      <w:pPr>
        <w:spacing w:line="480" w:after="0"/>
        <w:jc w:val="center"/>
      </w:pPr>
      <w:r>
        <w:rPr>
          <w:rFonts w:ascii="Times New Roman" w:cs="Times New Roman" w:eastAsia="Times New Roman" w:hAnsi="Times New Roman"/>
          <w:i/>
          <w:iCs/>
          <w:color w:val="888888"/>
          <w:sz w:val="24"/>
          <w:szCs w:val="24"/>
        </w:rPr>
        <w:t xml:space="preserve">[FIGURE 4: Irrigation experiment results — EXPERIMENT PENDING]</w:t>
      </w:r>
    </w:p>
    <w:p>
      <w:pPr>
        <w:spacing w:line="480" w:before="360" w:after="120"/>
      </w:pPr>
      <w:r>
        <w:rPr>
          <w:rFonts w:ascii="Times New Roman" w:cs="Times New Roman" w:eastAsia="Times New Roman" w:hAnsi="Times New Roman"/>
          <w:b/>
          <w:bCs/>
          <w:sz w:val="28"/>
          <w:szCs w:val="28"/>
        </w:rPr>
        <w:t xml:space="preserve">5 Discussion and Conclusions</w:t>
      </w:r>
    </w:p>
    <w:p>
      <w:pPr>
        <w:spacing w:line="480" w:before="240" w:after="120"/>
      </w:pPr>
      <w:r>
        <w:rPr>
          <w:rFonts w:ascii="Times New Roman" w:cs="Times New Roman" w:eastAsia="Times New Roman" w:hAnsi="Times New Roman"/>
          <w:b/>
          <w:bCs/>
          <w:i/>
          <w:iCs/>
          <w:sz w:val="26"/>
          <w:szCs w:val="26"/>
        </w:rPr>
        <w:t xml:space="preserve">5.1 Implications for Water Resources Modeling</w:t>
      </w:r>
    </w:p>
    <w:p>
      <w:pPr>
        <w:spacing w:line="480" w:after="0"/>
        <w:ind w:firstLine="720"/>
        <w:jc w:val="left"/>
      </w:pPr>
      <w:r>
        <w:rPr>
          <w:rFonts w:ascii="Times New Roman" w:cs="Times New Roman" w:eastAsia="Times New Roman" w:hAnsi="Times New Roman"/>
          <w:sz w:val="24"/>
          <w:szCs w:val="24"/>
        </w:rPr>
        <w:t xml:space="preserve">The Governed Broker Framework enables deployment of small, locally-run LLMs (4B parameters) with behavioral validity approaching that of much larger models, providing a cost-effective path for integrating cognitive agents into coupled human-water ABMs. The three-layer architecture ensures that LLMs contribute linguistic diversity and contextual reasoning while governance guarantees that simulation outputs remain scientifically valid—addressing the fundamental tension between behavioral realism and reliability in socio-hydrological modeling.</w:t>
      </w:r>
    </w:p>
    <w:p>
      <w:pPr>
        <w:spacing w:line="480" w:after="0"/>
        <w:ind w:firstLine="720"/>
        <w:jc w:val="left"/>
      </w:pPr>
      <w:r>
        <w:rPr>
          <w:rFonts w:ascii="Times New Roman" w:cs="Times New Roman" w:eastAsia="Times New Roman" w:hAnsi="Times New Roman"/>
          <w:sz w:val="24"/>
          <w:szCs w:val="24"/>
        </w:rPr>
        <w:t xml:space="preserve">The inverse scaling effect—where governance benefit is largest for the smallest models—has practical implications for computational scalability. Running 100 agents with a 4B model requires significantly less compute than a 27B model, and governance compensates for the capability gap. This makes LLM-driven ABMs accessible to research groups without large GPU resources.</w:t>
      </w:r>
    </w:p>
    <w:p>
      <w:pPr>
        <w:spacing w:line="480" w:before="240" w:after="120"/>
      </w:pPr>
      <w:r>
        <w:rPr>
          <w:rFonts w:ascii="Times New Roman" w:cs="Times New Roman" w:eastAsia="Times New Roman" w:hAnsi="Times New Roman"/>
          <w:b/>
          <w:bCs/>
          <w:i/>
          <w:iCs/>
          <w:sz w:val="26"/>
          <w:szCs w:val="26"/>
        </w:rPr>
        <w:t xml:space="preserve">5.2 Conformity Cascade and the Boundary of Level 2 Governance</w:t>
      </w:r>
    </w:p>
    <w:p>
      <w:pPr>
        <w:spacing w:line="480" w:after="0"/>
        <w:ind w:firstLine="720"/>
        <w:jc w:val="left"/>
      </w:pPr>
      <w:r>
        <w:rPr>
          <w:rFonts w:ascii="Times New Roman" w:cs="Times New Roman" w:eastAsia="Times New Roman" w:hAnsi="Times New Roman"/>
          <w:sz w:val="24"/>
          <w:szCs w:val="24"/>
        </w:rPr>
        <w:t xml:space="preserve">The Gemma 12B conformity cascade represents a significant finding: social observation feedback loops can overwhelm both governance validation and memory-based learning, causing behavioral homogenization regardless of the governance configuration. This phenomenon—where agents converge on a single strategy through positive feedback rather than independent reasoning—mirrors real-world herding behavior documented in adaptation contexts. However, in the simulation context, this convergence reduces the scientific utility of the ABM by eliminating population heterogeneity.</w:t>
      </w:r>
    </w:p>
    <w:p>
      <w:pPr>
        <w:spacing w:line="480" w:after="0"/>
        <w:ind w:firstLine="720"/>
        <w:jc w:val="left"/>
      </w:pPr>
      <w:r>
        <w:rPr>
          <w:rFonts w:ascii="Times New Roman" w:cs="Times New Roman" w:eastAsia="Times New Roman" w:hAnsi="Times New Roman"/>
          <w:sz w:val="24"/>
          <w:szCs w:val="24"/>
        </w:rPr>
        <w:t xml:space="preserve">This finding identifies the boundary between Level 2 (governance + memory) and Level 3 governance. Future work will investigate embedding-based memory retrieval and diversity-aware reflection mechanisms that can detect and counteract conformity cascades by maintaining agent-specific decision signatures.</w:t>
      </w:r>
    </w:p>
    <w:p>
      <w:pPr>
        <w:spacing w:line="480" w:before="240" w:after="120"/>
      </w:pPr>
      <w:r>
        <w:rPr>
          <w:rFonts w:ascii="Times New Roman" w:cs="Times New Roman" w:eastAsia="Times New Roman" w:hAnsi="Times New Roman"/>
          <w:b/>
          <w:bCs/>
          <w:i/>
          <w:iCs/>
          <w:sz w:val="26"/>
          <w:szCs w:val="26"/>
        </w:rPr>
        <w:t xml:space="preserve">5.3 Limitations</w:t>
      </w:r>
    </w:p>
    <w:p>
      <w:pPr>
        <w:spacing w:line="480" w:after="0"/>
        <w:ind w:firstLine="720"/>
        <w:jc w:val="left"/>
      </w:pPr>
      <w:r>
        <w:rPr>
          <w:rFonts w:ascii="Times New Roman" w:cs="Times New Roman" w:eastAsia="Times New Roman" w:hAnsi="Times New Roman"/>
          <w:sz w:val="24"/>
          <w:szCs w:val="24"/>
        </w:rPr>
        <w:t xml:space="preserve">Several limitations should be noted. First, the flood experiment uses a simplified environment with a fixed flood schedule; real flood systems involve stochastic hazard processes with spatial heterogeneity. Second, validation is limited to the Gemma 3 model family; cross-architecture validation (DeepSeek, Qwen) is provided in the Supporting Information. Third, the irrigation experiment demonstrates framework extensibility but does not include calibration against observed CRSS outcomes. Fourth, LLM inference cost at scale remains a consideration, though local deployment via Ollama eliminates API dependency.</w:t>
      </w:r>
    </w:p>
    <w:p>
      <w:pPr>
        <w:spacing w:line="480" w:before="240" w:after="120"/>
      </w:pPr>
      <w:r>
        <w:rPr>
          <w:rFonts w:ascii="Times New Roman" w:cs="Times New Roman" w:eastAsia="Times New Roman" w:hAnsi="Times New Roman"/>
          <w:b/>
          <w:bCs/>
          <w:i/>
          <w:iCs/>
          <w:sz w:val="26"/>
          <w:szCs w:val="26"/>
        </w:rPr>
        <w:t xml:space="preserve">5.4 Open Source and Reproducibility</w:t>
      </w:r>
    </w:p>
    <w:p>
      <w:pPr>
        <w:spacing w:line="480" w:after="0"/>
        <w:ind w:firstLine="720"/>
        <w:jc w:val="left"/>
      </w:pPr>
      <w:r>
        <w:rPr>
          <w:rFonts w:ascii="Times New Roman" w:cs="Times New Roman" w:eastAsia="Times New Roman" w:hAnsi="Times New Roman"/>
          <w:sz w:val="24"/>
          <w:szCs w:val="24"/>
        </w:rPr>
        <w:t xml:space="preserve">The Governed Broker Framework is available as an open-source Python package at [GitHub URL]. All experimental configurations (YAML skill registries, agent profiles, governance rules) and analysis scripts are included in the repository for full reproducibility. Supporting Information provides cross-model comparison results and detailed experimental protocols.</w:t>
      </w:r>
    </w:p>
    <w:p>
      <w:r>
        <w:br w:type="page"/>
      </w:r>
    </w:p>
    <w:p>
      <w:pPr>
        <w:spacing w:line="480" w:before="360" w:after="120"/>
      </w:pPr>
      <w:r>
        <w:rPr>
          <w:rFonts w:ascii="Times New Roman" w:cs="Times New Roman" w:eastAsia="Times New Roman" w:hAnsi="Times New Roman"/>
          <w:b/>
          <w:bCs/>
          <w:sz w:val="28"/>
          <w:szCs w:val="28"/>
        </w:rPr>
        <w:t xml:space="preserve">References</w:t>
      </w:r>
    </w:p>
    <w:p>
      <w:pPr>
        <w:spacing w:line="480" w:after="0"/>
        <w:jc w:val="left"/>
      </w:pPr>
      <w:r>
        <w:rPr>
          <w:rFonts w:ascii="Times New Roman" w:cs="Times New Roman" w:eastAsia="Times New Roman" w:hAnsi="Times New Roman"/>
          <w:sz w:val="24"/>
          <w:szCs w:val="24"/>
        </w:rPr>
        <w:t xml:space="preserve">Aher, G. V., Arriaga, R. I., &amp; Kalai, A. T. (2023). Using large language models to simulate multiple humans and replicate human subject studies. Proceedings of the 40th International Conference on Machine Learning (ICML).</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Castilla-Rho, J. C., Mariethoz, G., Rojas, R., Andersen, M. S., &amp; Kelly, B. F. J. (2017). An agent-based platform for simulating complex human–aquifer interactions in managed groundwater systems. Environmental Modelling &amp; Software, 92, 27–46. https://doi.org/10.1016/j.envsoft.2017.02.011</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Di Baldassarre, G., Viglione, A., Carr, G., Kuil, L., Salinas, J. L., &amp; Blöschl, G. (2013). Socio-hydrology: conceptualising human-flood interactions. Hydrology and Earth System Sciences, 17(8), 3295–3303. https://doi.org/10.5194/hess-17-3295-2013</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Hung, C. L. J., &amp; Yang, Y. C. E. (2021). Assessing adaptive irrigation impacts on water scarcity in nonstationary environments—A multi-agent modeling framework. Water Resources Research, 57(7), e2020WR028946. https://doi.org/10.1029/2020WR028946</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Kahneman, D. (2011). Thinking, Fast and Slow. Farrar, Straus and Giroux.</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Lin, C. Y., Yang, Y. C. E., &amp; Giuliani, M. (2022). HydroCNHS: A Python package for coupled natural–human systems modeling. Water Resources Research, 58(4), e2021WR031783. https://doi.org/10.1029/2021WR031783</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Mostafavi, A., Abraham, D. M., DeLaurentis, D., Sinfield, J., Kandil, A., &amp; Queiroz, C. (2018). Agent-based simulation model for assessment of financing infrastructure resilience. Journal of Infrastructure Systems, 24(1).</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Park, J. S., O’Brien, J., Cai, C. J., Morris, M. R., Liang, P., &amp; Bernstein, M. S. (2023). Generative agents: Interactive simulacra of human behavior. In Proceedings of the 36th Annual ACM Symposium on User Interface Software and Technology (pp. 1–22). https://doi.org/10.1145/3586183.3606763</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Rogers, R. W. (1975). A protection motivation theory of fear appeals and attitude change. The Journal of Psychology, 91(1), 93–114.</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Shumailov, I., Shumaylov, Z., Zhao, Y., Papernot, N., Anderson, R., &amp; Gal, Y. (2024). AI models collapse when trained on recursively generated data. Nature, 631, 755–759. https://doi.org/10.1038/s41586-024-07566-y</w:t>
      </w:r>
    </w:p>
    <w:p>
      <w:pPr>
        <w:spacing w:line="480"/>
      </w:pPr>
      <w:r>
        <w:rPr>
          <w:rFonts w:ascii="Times New Roman" w:cs="Times New Roman" w:eastAsia="Times New Roman" w:hAnsi="Times New Roman"/>
          <w:sz w:val="24"/>
          <w:szCs w:val="24"/>
        </w:rPr>
        <w:t xml:space="preserve"/>
      </w:r>
    </w:p>
    <w:p>
      <w:pPr>
        <w:spacing w:line="480" w:after="0"/>
        <w:jc w:val="left"/>
      </w:pPr>
      <w:r>
        <w:rPr>
          <w:rFonts w:ascii="Times New Roman" w:cs="Times New Roman" w:eastAsia="Times New Roman" w:hAnsi="Times New Roman"/>
          <w:sz w:val="24"/>
          <w:szCs w:val="24"/>
        </w:rPr>
        <w:t xml:space="preserve">Sumers, T. R., Yao, S., Griffiths, T. L., &amp; Narasimhan, K. (2023). Cognitive Architectures for Language Agents. arXiv:2309.02427.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WRR Technical Report — Governed Broker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2026-01-31T00:20:12.791Z</dcterms:created>
  <dcterms:modified xsi:type="dcterms:W3CDTF">2026-01-31T00:20:12.792Z</dcterms:modified>
</cp:coreProperties>
</file>

<file path=docProps/custom.xml><?xml version="1.0" encoding="utf-8"?>
<Properties xmlns="http://schemas.openxmlformats.org/officeDocument/2006/custom-properties" xmlns:vt="http://schemas.openxmlformats.org/officeDocument/2006/docPropsVTypes"/>
</file>