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LLM-ABM 構念與驗證模組 (C&amp;V Module)</w:t>
      </w:r>
    </w:p>
    <w:p>
      <w:pPr>
        <w:jc w:val="center"/>
      </w:pPr>
      <w:r>
        <w:rPr>
          <w:color w:val="2E74B5"/>
          <w:sz w:val="32"/>
        </w:rPr>
        <w:t>專家審查綜合報告</w:t>
      </w:r>
    </w:p>
    <w:p>
      <w:pPr>
        <w:jc w:val="center"/>
      </w:pPr>
      <w:r>
        <w:rPr>
          <w:color w:val="808080"/>
          <w:sz w:val="22"/>
        </w:rPr>
        <w:t>2026-02-14</w:t>
      </w:r>
    </w:p>
    <w:p/>
    <w:p>
      <w:pPr>
        <w:pStyle w:val="Heading1"/>
      </w:pPr>
      <w:r>
        <w:t>1. 審查概述</w:t>
      </w:r>
    </w:p>
    <w:p>
      <w:r>
        <w:rPr>
          <w:b/>
        </w:rPr>
        <w:t>日期：</w:t>
      </w:r>
      <w:r>
        <w:t>2026-02-14</w:t>
      </w:r>
    </w:p>
    <w:p>
      <w:r>
        <w:rPr>
          <w:b/>
        </w:rPr>
        <w:t>模組：</w:t>
      </w:r>
      <w:r>
        <w:t>compute_validation_metrics.py (~1,297 行)</w:t>
      </w:r>
    </w:p>
    <w:p>
      <w:r>
        <w:rPr>
          <w:b/>
        </w:rPr>
        <w:t>審查團隊：</w:t>
      </w:r>
      <w:r>
        <w:t>LLM 行為工程專家、行為/社會科學專家、水資源工程專家、資工系教授</w:t>
      </w:r>
    </w:p>
    <w:p>
      <w:r>
        <w:rPr>
          <w:b/>
        </w:rPr>
        <w:t>目標：</w:t>
      </w:r>
      <w:r>
        <w:t>通用性、可擴充性 (10K+ agents)、多理論支援、具體範例</w:t>
      </w:r>
    </w:p>
    <w:p>
      <w:r>
        <w:t>本報告綜合四位專家對 C&amp;V Module 的獨立審查意見，涵蓋程式架構、行為科學理論、水資源領域特性、及 LLM 特有驗證需求。所有建議依 priority (P0-P3) 分級，其中 P0 為必須立即修復的 blocking bug。</w:t>
      </w:r>
    </w:p>
    <w:p>
      <w:pPr>
        <w:pStyle w:val="Heading1"/>
      </w:pPr>
      <w:r>
        <w:t>2. 跨專家共識 (P0 — 必須立即修復)</w:t>
      </w:r>
    </w:p>
    <w:p>
      <w:pPr>
        <w:pStyle w:val="Heading2"/>
      </w:pPr>
      <w:r>
        <w:t>2.1 EBE 平均計算 Bug</w:t>
      </w:r>
    </w:p>
    <w:p>
      <w:r>
        <w:rPr>
          <w:b/>
        </w:rPr>
        <w:t>問題：</w:t>
      </w:r>
      <w:r>
        <w:t>目前程式碼以 (EBE_owner + EBE_renter) / 2 計算整體 Empirical Behavioral Entropy (EBE)，但 Shannon entropy 不具有可加性 (non-additive)。兩個子群體的 entropy 算術平均不等於合併分佈的 entropy。</w:t>
      </w:r>
    </w:p>
    <w:p>
      <w:r>
        <w:rPr>
          <w:b/>
        </w:rPr>
        <w:t>修正方案：</w:t>
      </w:r>
      <w:r>
        <w:t>應先將 owner 與 renter 的動作分佈依 population ratio 加權合併，再對合併後的分佈重新計算 Shannon entropy。公式：H(X) = -Σ p_merged(x) log₂ p_merged(x)，其中 p_merged = w_owner · p_owner + w_renter · p_renter。</w:t>
      </w:r>
    </w:p>
    <w:p>
      <w:pPr>
        <w:pStyle w:val="Heading2"/>
      </w:pPr>
      <w:r>
        <w:t>2.2 TP/CP 提取失敗 Silent Default</w:t>
      </w:r>
    </w:p>
    <w:p>
      <w:r>
        <w:rPr>
          <w:b/>
        </w:rPr>
        <w:t>問題：</w:t>
      </w:r>
      <w:r>
        <w:t>當 LLM 回應中無法提取 Threat Perception (TP) 或 Coping Perception (CP) label 時，程式碼 silently defaults to "M" (Medium)。這導致 CACR (Construct-Action Coherence Rate) 被系統性地高估，因為 "M" 與大多數動作的 coherence mapping 吻合度高。</w:t>
      </w:r>
    </w:p>
    <w:p>
      <w:r>
        <w:rPr>
          <w:b/>
        </w:rPr>
        <w:t>修正方案：</w:t>
      </w:r>
      <w:r>
        <w:t>使用 "UNKNOWN" sentinel value。在 CACR 計算中排除所有 TP 或 CP = "UNKNOWN" 的 traces。另外報告 extract_failure_rate 作為獨立的 data quality metric。</w:t>
      </w:r>
    </w:p>
    <w:p>
      <w:pPr>
        <w:pStyle w:val="Heading2"/>
      </w:pPr>
      <w:r>
        <w:t>2.3 Agent Type 推斷循環性</w:t>
      </w:r>
    </w:p>
    <w:p>
      <w:r>
        <w:rPr>
          <w:b/>
        </w:rPr>
        <w:t>問題：</w:t>
      </w:r>
      <w:r>
        <w:t>目前以 proposed action 推斷 agent type (owner vs. renter)，例如看到 "elevation" 就判斷為 owner。這是 circular reasoning：用行為推斷身份，再用身份驗證行為。</w:t>
      </w:r>
    </w:p>
    <w:p>
      <w:r>
        <w:rPr>
          <w:b/>
        </w:rPr>
        <w:t>修正方案：</w:t>
      </w:r>
      <w:r>
        <w:t>應從 agent profile (initialization data) 中 join agent_type 欄位。所有 agent type 資訊應在實驗開始時就確定，而非從 trace data 中推斷。</w:t>
      </w:r>
    </w:p>
    <w:p>
      <w:pPr>
        <w:pStyle w:val="Heading1"/>
      </w:pPr>
      <w:r>
        <w:t>3. 架構重構建議 (P1)</w:t>
      </w:r>
    </w:p>
    <w:p>
      <w:pPr>
        <w:pStyle w:val="Heading2"/>
      </w:pPr>
      <w:r>
        <w:t>3.1 模組化拆分 (CS 教授)</w:t>
      </w:r>
    </w:p>
    <w:p>
      <w:r>
        <w:t>目前 compute_validation_metrics.py 為 1,297 行的 monolith，違反 Single Responsibility Principle。建議拆分為 broker/validators/validation/ package，包含以下 7 個子模組：</w:t>
      </w:r>
    </w:p>
    <w:p>
      <w:pPr>
        <w:pStyle w:val="ListBullet"/>
      </w:pPr>
      <w:r>
        <w:t>theories/ — 行為理論 coherence specs (PMT, TPB, HBM, PT, PADM)</w:t>
      </w:r>
    </w:p>
    <w:p>
      <w:pPr>
        <w:pStyle w:val="ListBullet"/>
      </w:pPr>
      <w:r>
        <w:t>hallucinations/ — LLM hallucination &amp; constraint violation detectors</w:t>
      </w:r>
    </w:p>
    <w:p>
      <w:pPr>
        <w:pStyle w:val="ListBullet"/>
      </w:pPr>
      <w:r>
        <w:t>benchmarks/ — 各 empirical benchmark 獨立 callable</w:t>
      </w:r>
    </w:p>
    <w:p>
      <w:pPr>
        <w:pStyle w:val="ListBullet"/>
      </w:pPr>
      <w:r>
        <w:t>metrics/ — 通用 metric 計算工具 (entropy, Moran's I, survival analysis)</w:t>
      </w:r>
    </w:p>
    <w:p>
      <w:pPr>
        <w:pStyle w:val="ListBullet"/>
      </w:pPr>
      <w:r>
        <w:t>io/ — Trace 讀取、streaming、格式轉換</w:t>
      </w:r>
    </w:p>
    <w:p>
      <w:pPr>
        <w:pStyle w:val="ListBullet"/>
      </w:pPr>
      <w:r>
        <w:t>reporting/ — 報表生成、Excel/Markdown 輸出</w:t>
      </w:r>
    </w:p>
    <w:p>
      <w:pPr>
        <w:pStyle w:val="ListBullet"/>
      </w:pPr>
      <w:r>
        <w:t>engine.py — ValidationRunner facade，整合上述模組</w:t>
      </w:r>
    </w:p>
    <w:p>
      <w:r>
        <w:rPr>
          <w:b/>
        </w:rPr>
        <w:t>與現有 BenchmarkRegistry 整合：</w:t>
      </w:r>
      <w:r>
        <w:t>現有 empirical_benchmarks.py 中的 BenchmarkRegistry 已提供 benchmark 註冊機制，新架構應將其作為 benchmarks/ 子模組的基礎，避免重複建設。</w:t>
      </w:r>
    </w:p>
    <w:p>
      <w:pPr>
        <w:pStyle w:val="Heading2"/>
      </w:pPr>
      <w:r>
        <w:t>3.2 可插拔理論支援 (所有專家一致)</w:t>
      </w:r>
    </w:p>
    <w:p>
      <w:r>
        <w:t>定義 BehavioralTheory protocol，使不同行為理論以統一介面整合：</w:t>
      </w:r>
    </w:p>
    <w:p>
      <w:pPr/>
      <w:r>
        <w:rPr>
          <w:rFonts w:ascii="Consolas" w:hAnsi="Consolas"/>
          <w:sz w:val="18"/>
        </w:rPr>
        <w:t>class BehavioralTheory(Protocol):</w:t>
        <w:br/>
        <w:t xml:space="preserve">    def get_coherent_actions(</w:t>
        <w:br/>
        <w:t xml:space="preserve">        self, constructs: Dict[str, str], agent_type: str</w:t>
        <w:br/>
        <w:t xml:space="preserve">    ) -&gt; List[str]: ...</w:t>
      </w:r>
    </w:p>
    <w:p>
      <w:r>
        <w:rPr>
          <w:b/>
        </w:rPr>
        <w:t>支援的理論框架：</w:t>
      </w:r>
    </w:p>
    <w:p>
      <w:pPr>
        <w:pStyle w:val="ListBullet"/>
      </w:pPr>
      <w:r>
        <w:rPr>
          <w:b/>
        </w:rPr>
        <w:t>PMT (Protection Motivation Theory)：</w:t>
      </w:r>
      <w:r>
        <w:t>2D lookup (TP × CP → coherent actions)</w:t>
      </w:r>
    </w:p>
    <w:p>
      <w:pPr>
        <w:pStyle w:val="ListBullet"/>
      </w:pPr>
      <w:r>
        <w:rPr>
          <w:b/>
        </w:rPr>
        <w:t>TPB (Theory of Planned Behavior)：</w:t>
      </w:r>
      <w:r>
        <w:t>3D lookup (Attitude × SubjectiveNorm × PBC)</w:t>
      </w:r>
    </w:p>
    <w:p>
      <w:pPr>
        <w:pStyle w:val="ListBullet"/>
      </w:pPr>
      <w:r>
        <w:rPr>
          <w:b/>
        </w:rPr>
        <w:t>HBM (Health Belief Model)：</w:t>
      </w:r>
      <w:r>
        <w:t>4-6D scoring (Susceptibility, Severity, Benefits, Barriers, Cues, Self-efficacy)</w:t>
      </w:r>
    </w:p>
    <w:p>
      <w:pPr>
        <w:pStyle w:val="ListBullet"/>
      </w:pPr>
      <w:r>
        <w:rPr>
          <w:b/>
        </w:rPr>
        <w:t>PADM (Protective Action Decision Model)：</w:t>
      </w:r>
      <w:r>
        <w:t>Process-based (Risk identification → Assessment → Decision)</w:t>
      </w:r>
    </w:p>
    <w:p>
      <w:pPr>
        <w:pStyle w:val="ListBullet"/>
      </w:pPr>
      <w:r>
        <w:rPr>
          <w:b/>
        </w:rPr>
        <w:t>PT (Prospect Theory)：</w:t>
      </w:r>
      <w:r>
        <w:t>Frame-conditional (Loss/Gain frame × Reference point → Risk preference)</w:t>
      </w:r>
    </w:p>
    <w:p>
      <w:r>
        <w:rPr>
          <w:b/>
        </w:rPr>
        <w:t>社科專家關鍵指出：</w:t>
      </w:r>
      <w:r>
        <w:t>行為理論分為兩種 paradigm — Construct-Action Mapping (PMT/TPB/HBM) 與 Frame-Conditional (PT/Nudge)。前者可用 lookup table 實作，後者需要 conditional logic。統一 protocol 必須同時支援兩種 paradigm。</w:t>
      </w:r>
    </w:p>
    <w:p>
      <w:r>
        <w:t>建議使用 TheoryRegistry + YAML 宣告式配置，使用者只需提供 theory name 與 coherence table，不需修改 Python 程式碼。</w:t>
      </w:r>
    </w:p>
    <w:p>
      <w:pPr>
        <w:pStyle w:val="Heading2"/>
      </w:pPr>
      <w:r>
        <w:t>3.3 Benchmark 外部化</w:t>
      </w:r>
    </w:p>
    <w:p>
      <w:r>
        <w:t>目前 benchmark 計算內嵌於 ~410 行的 switch statement 中，難以維護且無法由使用者自訂。建議定義 BenchmarkComputation protocol：</w:t>
      </w:r>
    </w:p>
    <w:p>
      <w:r>
        <w:rPr>
          <w:rFonts w:ascii="Consolas" w:hAnsi="Consolas"/>
          <w:sz w:val="18"/>
        </w:rPr>
        <w:t>class BenchmarkComputation(Protocol):</w:t>
        <w:br/>
        <w:t xml:space="preserve">    name: str</w:t>
        <w:br/>
        <w:t xml:space="preserve">    range: Tuple[float, float]</w:t>
        <w:br/>
        <w:t xml:space="preserve">    weight: float</w:t>
        <w:br/>
        <w:t xml:space="preserve">    def compute(self, traces, profiles) -&gt; float: ...</w:t>
      </w:r>
    </w:p>
    <w:p>
      <w:r>
        <w:t>每個 benchmark 獨立為一個 callable plugin，並以 YAML 格式定義 benchmark name, range, weight, filter criteria, metric type。替換現有 switch statement，提升可維護性與擴展性。</w:t>
      </w:r>
    </w:p>
    <w:p>
      <w:pPr>
        <w:pStyle w:val="Heading1"/>
      </w:pPr>
      <w:r>
        <w:t>4. LLM 特定驗證缺口 (P1-P2, LLM 行為工程專家)</w:t>
      </w:r>
    </w:p>
    <w:p>
      <w:pPr>
        <w:pStyle w:val="Heading2"/>
      </w:pPr>
      <w:r>
        <w:t>4.1 Sycophancy Detection</w:t>
      </w:r>
    </w:p>
    <w:p>
      <w:r>
        <w:t>LLM 可能僅 mirror prompt framing 而非真正推理。例如，若 prompt 強調 "flood risk is high"，LLM 可能直接輸出高風險適應行動，而非基於 agent state 獨立判斷。</w:t>
      </w:r>
    </w:p>
    <w:p>
      <w:r>
        <w:rPr>
          <w:b/>
        </w:rPr>
        <w:t>建議：</w:t>
      </w:r>
      <w:r>
        <w:t>加入 L1.5 Prompt-Response Independence (PRI) 指標。方法：對同一 agent state 使用不同 prompt framing (neutral vs. risk-emphasizing)，比較 action distribution 差異。PRI = 1 - JSD(P_neutral, P_framed)，其中 JSD 為 Jensen-Shannon Divergence。PRI &gt; 0.7 為 acceptable。</w:t>
      </w:r>
    </w:p>
    <w:p>
      <w:pPr>
        <w:pStyle w:val="Heading2"/>
      </w:pPr>
      <w:r>
        <w:t>4.2 CACR Temporal Decomposition</w:t>
      </w:r>
    </w:p>
    <w:p>
      <w:r>
        <w:t>整體 CACR 可能掩蓋 temporal degradation。隨著模擬進行，LLM 可能因 context window 限制或 instruction-following fatigue 而降低 construct-action coherence。</w:t>
      </w:r>
    </w:p>
    <w:p>
      <w:r>
        <w:rPr>
          <w:b/>
        </w:rPr>
        <w:t>建議：</w:t>
      </w:r>
      <w:r>
        <w:t>計算 CACR-by-year，繪製時序圖。若 CACR 斜率 &lt; -0.02/year，標記為 "instruction-following collapse at scale" 風險。</w:t>
      </w:r>
    </w:p>
    <w:p>
      <w:pPr>
        <w:pStyle w:val="Heading2"/>
      </w:pPr>
      <w:r>
        <w:t>4.3 Construct Label Circularity</w:t>
      </w:r>
    </w:p>
    <w:p>
      <w:r>
        <w:rPr>
          <w:b/>
        </w:rPr>
        <w:t>社科 + LLM 專家共識：</w:t>
      </w:r>
      <w:r>
        <w:t>目前 LLM 自己產生 TP/CP labels，又用這些 labels 驗證自己的 action coherence。這測量的是 self-consistency，而非 construct validity。</w:t>
      </w:r>
    </w:p>
    <w:p>
      <w:r>
        <w:rPr>
          <w:b/>
        </w:rPr>
        <w:t>建議：</w:t>
      </w:r>
      <w:r>
        <w:t>實施 "construct grounding" 驗證 — 使用外部 ground truth (如已知 flood depth → expected TP range) 驗證 LLM 產生的 construct labels 是否合理。例如：flood depth &gt; 3ft 且 TP = "L" 應標記為 grounding failure。</w:t>
      </w:r>
    </w:p>
    <w:p>
      <w:pPr>
        <w:pStyle w:val="Heading2"/>
      </w:pPr>
      <w:r>
        <w:t>4.4 Reasoning Faithfulness</w:t>
      </w:r>
    </w:p>
    <w:p>
      <w:r>
        <w:t>LLM 可能輸出 TP_LABEL = "VH" (Very High) 但 reasoning 文字寫 "flood risk is minimal"。這種 label-reasoning disconnect 表示 LLM 不是真正理解 construct，只是在 pattern match label format。</w:t>
      </w:r>
    </w:p>
    <w:p>
      <w:r>
        <w:rPr>
          <w:b/>
        </w:rPr>
        <w:t>建議：</w:t>
      </w:r>
      <w:r>
        <w:t>加入 label-reasoning consistency check。使用 NLI (Natural Language Inference) 模型 或 keyword-based heuristics 檢查 reasoning 文字是否支持所給 label。報告 reasoning_faithfulness_rate。</w:t>
      </w:r>
    </w:p>
    <w:p>
      <w:pPr>
        <w:pStyle w:val="Heading2"/>
      </w:pPr>
      <w:r>
        <w:t>4.5 Cross-Model Comparability</w:t>
      </w:r>
    </w:p>
    <w:p>
      <w:r>
        <w:t>不同 LLM (GPT-4, Gemma, Claude) 的 CACR 絕對值不可直接比較，因為 baseline coherence rate 因模型而異。</w:t>
      </w:r>
    </w:p>
    <w:p>
      <w:r>
        <w:rPr>
          <w:b/>
        </w:rPr>
        <w:t>建議：</w:t>
      </w:r>
      <w:r>
        <w:t>報告 CACR-normalized = (CACR_model - CACR_random) / (1 - CACR_random)。同時要求每個實驗記錄 model card fields (model name, temperature, max_tokens) 及 variance metrics (CACR std across seeds)。</w:t>
      </w:r>
    </w:p>
    <w:p>
      <w:pPr>
        <w:pStyle w:val="Heading1"/>
      </w:pPr>
      <w:r>
        <w:t>5. 時空驗證缺口 (P1-P2, 水資源 + 社科專家)</w:t>
      </w:r>
    </w:p>
    <w:p>
      <w:pPr>
        <w:pStyle w:val="Heading2"/>
      </w:pPr>
      <w:r>
        <w:t>5.1 空間驗證</w:t>
      </w:r>
    </w:p>
    <w:p>
      <w:r>
        <w:t>目前 C&amp;V Module 缺少空間維度驗證。以下為建議新增的 spatial metrics：</w:t>
      </w:r>
    </w:p>
    <w:p>
      <w:pPr>
        <w:pStyle w:val="ListBullet"/>
      </w:pPr>
      <w:r>
        <w:rPr>
          <w:b/>
        </w:rPr>
        <w:t>Adaptation Moran's I：</w:t>
      </w:r>
      <w:r>
        <w:t>空間自相關指標，檢測適應行為是否具空間聚集性。以 flood depth 為 spatial weight，計算 adaptation binary (yes/no) 的 Moran's I。預期值 &gt; 0.1 (顯著正自相關)。</w:t>
      </w:r>
    </w:p>
    <w:p>
      <w:pPr>
        <w:pStyle w:val="ListBullet"/>
      </w:pPr>
      <w:r>
        <w:rPr>
          <w:b/>
        </w:rPr>
        <w:t>Flood Zone Gradient Slope：</w:t>
      </w:r>
      <w:r>
        <w:t>適應率應隨 flood zone risk 等級遞增。計算 adaptation_rate vs. flood_zone_risk 的線性斜率，預期 &gt; 0。</w:t>
      </w:r>
    </w:p>
    <w:p>
      <w:pPr>
        <w:pStyle w:val="ListBullet"/>
      </w:pPr>
      <w:r>
        <w:rPr>
          <w:b/>
        </w:rPr>
        <w:t>Buyout Spatial Concentration：</w:t>
      </w:r>
      <w:r>
        <w:t>以 Gini coefficient by flood depth 衡量 buyout 的空間集中度。高風險區應有更高 buyout 率。預期 Gini &gt; 0.3。</w:t>
      </w:r>
    </w:p>
    <w:p>
      <w:pPr>
        <w:pStyle w:val="Heading2"/>
      </w:pPr>
      <w:r>
        <w:t>5.2 時間驗證</w:t>
      </w:r>
    </w:p>
    <w:p>
      <w:r>
        <w:t>建議新增的 temporal metrics：</w:t>
      </w:r>
    </w:p>
    <w:p>
      <w:pPr>
        <w:pStyle w:val="ListBullet"/>
      </w:pPr>
      <w:r>
        <w:rPr>
          <w:b/>
        </w:rPr>
        <w:t>Post-flood Adaptation Spike Ratio：</w:t>
      </w:r>
      <w:r>
        <w:t>洪災後第一年適應率 / 前三年平均。預期 1.5-3.0x (Gallagher 2014)。</w:t>
      </w:r>
    </w:p>
    <w:p>
      <w:pPr>
        <w:pStyle w:val="ListBullet"/>
      </w:pPr>
      <w:r>
        <w:rPr>
          <w:b/>
        </w:rPr>
        <w:t>Insurance Survival Half-life：</w:t>
      </w:r>
      <w:r>
        <w:t>自購買保險後，維持投保的中位年數。預期 2-4 年 (Michel-Kerjan 2012)。</w:t>
      </w:r>
    </w:p>
    <w:p>
      <w:pPr>
        <w:pStyle w:val="ListBullet"/>
      </w:pPr>
      <w:r>
        <w:rPr>
          <w:b/>
        </w:rPr>
        <w:t>Adaptation S-curve R²：</w:t>
      </w:r>
      <w:r>
        <w:t>以 logistic function 擬合累積適應率。R² &gt; 0.85 表示合理的 adoption diffusion pattern。</w:t>
      </w:r>
    </w:p>
    <w:p>
      <w:pPr>
        <w:pStyle w:val="ListBullet"/>
      </w:pPr>
      <w:r>
        <w:rPr>
          <w:b/>
        </w:rPr>
        <w:t>CACR-by-year Slope：</w:t>
      </w:r>
      <w:r>
        <w:t>偵測 LLM construct coherence 隨時間退化。Slope &lt; -0.02/year 為 warning signal。</w:t>
      </w:r>
    </w:p>
    <w:p>
      <w:pPr>
        <w:pStyle w:val="Heading1"/>
      </w:pPr>
      <w:r>
        <w:t>6. 社會動態驗證 (P2, 社科專家)</w:t>
      </w:r>
    </w:p>
    <w:p>
      <w:r>
        <w:t>社科專家特別指出，LLM-ABM 的社會動態驗證不應僅依賴個體層級指標，還需要群體層級的 emergent pattern 檢測：</w:t>
      </w:r>
    </w:p>
    <w:p>
      <w:pPr>
        <w:pStyle w:val="ListBullet"/>
      </w:pPr>
      <w:r>
        <w:rPr>
          <w:b/>
        </w:rPr>
        <w:t>Spatial Autocorrelation (Moran's I)：</w:t>
      </w:r>
      <w:r>
        <w:t>同一 flood zone 內 agents 的行為是否顯示空間聚集。若 Moran's I 顯著但機制僅為 shared flood exposure (非 social influence)，需謹慎解讀 — 這是 socially-mediated adaptive behavior，不是 emergent social dynamics。</w:t>
      </w:r>
    </w:p>
    <w:p>
      <w:pPr>
        <w:pStyle w:val="ListBullet"/>
      </w:pPr>
      <w:r>
        <w:rPr>
          <w:b/>
        </w:rPr>
        <w:t>Temporal Contagion (Neighbor Adoption Effect)：</w:t>
      </w:r>
      <w:r>
        <w:t>鄰居在 t-1 年採取適應行動是否增加 agent 在 t 年的適應機率。使用 logistic regression 控制 flood exposure，報告 neighbor_effect coefficient 及 p-value。</w:t>
      </w:r>
    </w:p>
    <w:p>
      <w:pPr>
        <w:pStyle w:val="ListBullet"/>
      </w:pPr>
      <w:r>
        <w:rPr>
          <w:b/>
        </w:rPr>
        <w:t>Norm Emergence (Within-group Entropy over Time)：</w:t>
      </w:r>
      <w:r>
        <w:t>若社會規範正在形成，同一群體內的行為 entropy 應隨時間下降。注意：WAGF 目前資料顯示 entropy 無明顯下降趨勢，故不宜 claim "norm emergence"。</w:t>
      </w:r>
    </w:p>
    <w:p>
      <w:pPr>
        <w:pStyle w:val="ListBullet"/>
      </w:pPr>
      <w:r>
        <w:rPr>
          <w:b/>
        </w:rPr>
        <w:t>Rejection Cascade Metric：</w:t>
      </w:r>
      <w:r>
        <w:t>治理系統 (MG) rejection 導致的連鎖 inaction 效應。計算 consecutive rejection 後 agent 連續選擇 do_nothing 的平均次數。若 &gt; 3 次，表示 rejection cascade，需要 governance rule 調整。</w:t>
      </w:r>
    </w:p>
    <w:p>
      <w:pPr>
        <w:pStyle w:val="Heading1"/>
      </w:pPr>
      <w:r>
        <w:t>7. 可擴充性 (10K+ agents, CS 教授)</w:t>
      </w:r>
    </w:p>
    <w:p>
      <w:r>
        <w:t>目前模組將所有 trace data 載入記憶體，對 10K+ agents 的大規模實驗不可行。CS 教授提出以下架構改進：</w:t>
      </w:r>
    </w:p>
    <w:p>
      <w:pPr>
        <w:pStyle w:val="ListBullet"/>
      </w:pPr>
      <w:r>
        <w:rPr>
          <w:b/>
        </w:rPr>
        <w:t>Streaming TraceReader：</w:t>
      </w:r>
      <w:r>
        <w:t>逐 agent 讀取 trace，記憶體消耗為 O(N_agents) 而非 O(N_decisions)。使用 generator pattern，避免一次載入所有 JSON。</w:t>
      </w:r>
    </w:p>
    <w:p>
      <w:pPr>
        <w:pStyle w:val="ListBullet"/>
      </w:pPr>
      <w:r>
        <w:rPr>
          <w:b/>
        </w:rPr>
        <w:t>Single-pass Benchmark Extraction：</w:t>
      </w:r>
      <w:r>
        <w:t>所有 benchmark metrics 在一次 trace scan 中同時計算，避免重複讀取同一份 trace 資料。</w:t>
      </w:r>
    </w:p>
    <w:p>
      <w:pPr>
        <w:pStyle w:val="ListBullet"/>
      </w:pPr>
      <w:r>
        <w:rPr>
          <w:b/>
        </w:rPr>
        <w:t>Per-seed Parallelism：</w:t>
      </w:r>
      <w:r>
        <w:t>使用 ProcessPoolExecutor 平行處理不同 seed 的驗證。每個 seed 獨立計算，最後合併統計。</w:t>
      </w:r>
    </w:p>
    <w:p>
      <w:pPr>
        <w:pStyle w:val="ListBullet"/>
      </w:pPr>
      <w:r>
        <w:rPr>
          <w:b/>
        </w:rPr>
        <w:t>orjson for JSON Parsing：</w:t>
      </w:r>
      <w:r>
        <w:t>替換標準 json module 為 orjson，可獲得 3-5x parsing 加速。特別對大量小 JSON 文件效果顯著。</w:t>
      </w:r>
    </w:p>
    <w:p>
      <w:r>
        <w:rPr>
          <w:b/>
        </w:rPr>
        <w:t>預估效果：</w:t>
      </w:r>
      <w:r>
        <w:t>500K traces 情境下，從 ~4GB 記憶體消耗降至 ~50MB，處理時間從 O(N²) 降至 O(N)。</w:t>
      </w:r>
    </w:p>
    <w:p>
      <w:pPr>
        <w:pStyle w:val="Heading1"/>
      </w:pPr>
      <w:r>
        <w:t>8. 跨領域擴展 (水資源專家)</w:t>
      </w:r>
    </w:p>
    <w:p>
      <w:r>
        <w:t>C&amp;V Module 目前針對 flood adaptation 設計，但 WAGF 的願景是成為通用 LLM-ABM 框架。水資源專家提出以下跨領域擴展方向：</w:t>
      </w:r>
    </w:p>
    <w:p>
      <w:pPr>
        <w:pStyle w:val="ListBullet"/>
      </w:pPr>
      <w:r>
        <w:rPr>
          <w:b/>
        </w:rPr>
        <w:t>Groundwater Management：</w:t>
      </w:r>
      <w:r>
        <w:t>Decision-Analytic (DA) / Prospect-Framing (PF) constructs。治理規則對應 SGMA (Sustainable Groundwater Management Act) 法規。Benchmarks: pumping reduction rate, basin sustainability index。</w:t>
      </w:r>
    </w:p>
    <w:p>
      <w:pPr>
        <w:pStyle w:val="ListBullet"/>
      </w:pPr>
      <w:r>
        <w:rPr>
          <w:b/>
        </w:rPr>
        <w:t>Urban Water Demand：</w:t>
      </w:r>
      <w:r>
        <w:t>Conservation motivation constructs (Environmental concern, Social norm, Economic incentive)。Benchmarks: per-capita demand reduction, price elasticity of demand (-0.1 to -0.6)。</w:t>
      </w:r>
    </w:p>
    <w:p>
      <w:pPr>
        <w:pStyle w:val="ListBullet"/>
      </w:pPr>
      <w:r>
        <w:rPr>
          <w:b/>
        </w:rPr>
        <w:t>Drought Response：</w:t>
      </w:r>
      <w:r>
        <w:t>Stress-coping constructs for agricultural agents。Benchmarks: fallowing rates, water market trading volumes, crop switching frequency。</w:t>
      </w:r>
    </w:p>
    <w:p>
      <w:pPr>
        <w:pStyle w:val="ListBullet"/>
      </w:pPr>
      <w:r>
        <w:rPr>
          <w:b/>
        </w:rPr>
        <w:t>Irrigation (已有實作)：</w:t>
      </w:r>
      <w:r>
        <w:t>WSA/ACA dual-appraisal constructs 已在 irrigation ABM 中實作。但缺少正式的 ConstructCoherenceSpec — 目前 coherence 定義散佈在程式碼中，需要整理為 YAML 格式的 spec。</w:t>
      </w:r>
    </w:p>
    <w:p>
      <w:pPr>
        <w:pStyle w:val="Heading1"/>
      </w:pPr>
      <w:r>
        <w:t>9. Elevation Rate = 0.57 問題 (水資源專家)</w:t>
      </w:r>
    </w:p>
    <w:p>
      <w:r>
        <w:t>目前 flood ABM 的 elevation rate 為 0.57，遠超過 empirical benchmark 範圍 (0.10-0.35)。水資源專家分析其根本原因及建議：</w:t>
      </w:r>
    </w:p>
    <w:p>
      <w:pPr>
        <w:pStyle w:val="Heading2"/>
      </w:pPr>
      <w:r>
        <w:t>9.1 根因分析</w:t>
      </w:r>
    </w:p>
    <w:p>
      <w:pPr>
        <w:pStyle w:val="ListBullet"/>
      </w:pPr>
      <w:r>
        <w:rPr>
          <w:b/>
        </w:rPr>
        <w:t>Benchmark 範圍合理但窄：</w:t>
      </w:r>
      <w:r>
        <w:t>0.10-0.35 的範圍基於全國平均數據，實際因地區而異。但 0.57 即使在高風險區也顯著偏高。</w:t>
      </w:r>
    </w:p>
    <w:p>
      <w:pPr>
        <w:pStyle w:val="ListBullet"/>
      </w:pPr>
      <w:r>
        <w:rPr>
          <w:b/>
        </w:rPr>
        <w:t>缺少 Capacity Constraint：</w:t>
      </w:r>
      <w:r>
        <w:t>模型未考慮 contractor throughput limit — 現實中每年只有有限的承包商可執行 elevation 工程。即使所有 owner 都想 elevate，供給面的限制也會壓低實際 elevation rate。</w:t>
      </w:r>
    </w:p>
    <w:p>
      <w:pPr>
        <w:pStyle w:val="ListBullet"/>
      </w:pPr>
      <w:r>
        <w:rPr>
          <w:b/>
        </w:rPr>
        <w:t>Subsidy Feedback Loop 無 Damping：</w:t>
      </w:r>
      <w:r>
        <w:t>當 elevation rate 高時，更多 agents 看到鄰居 elevate → 更多人 elevate → positive feedback。現實中，subsidy 預算有限，會自然 dampen 這個 loop。</w:t>
      </w:r>
    </w:p>
    <w:p>
      <w:pPr>
        <w:pStyle w:val="Heading2"/>
      </w:pPr>
      <w:r>
        <w:t>9.2 建議修正</w:t>
      </w:r>
    </w:p>
    <w:p>
      <w:pPr>
        <w:pStyle w:val="ListBullet"/>
      </w:pPr>
      <w:r>
        <w:t>加入 per-year elevation cap (5-8% of unelevated owners)，模擬 contractor capacity constraint。</w:t>
      </w:r>
    </w:p>
    <w:p>
      <w:pPr>
        <w:pStyle w:val="ListBullet"/>
      </w:pPr>
      <w:r>
        <w:t>報告 subsidy-conditioned elevation rate (有補助 vs. 無補助)，分離 economic motivation vs. risk motivation。</w:t>
      </w:r>
    </w:p>
    <w:p>
      <w:pPr>
        <w:pStyle w:val="ListBullet"/>
      </w:pPr>
      <w:r>
        <w:t>在 benchmark comparison 中加入 capacity-adjusted expected rate。</w:t>
      </w:r>
    </w:p>
    <w:p>
      <w:pPr>
        <w:pStyle w:val="Heading1"/>
      </w:pPr>
      <w:r>
        <w:t>10. 實施路線圖</w:t>
      </w:r>
    </w:p>
    <w:p>
      <w:r>
        <w:t>以下為建議的分階段實施計畫，總計約 9 個工作天：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4472C4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535"/>
            <w:shd w:fill="4472C4" w:val="clear"/>
          </w:tcPr>
          <w:p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1134"/>
            <w:shd w:fill="4472C4" w:val="clear"/>
          </w:tcPr>
          <w:p>
            <w:r>
              <w:rPr>
                <w:b/>
                <w:color w:val="FFFFFF"/>
                <w:sz w:val="18"/>
              </w:rPr>
              <w:t>工時</w:t>
            </w:r>
          </w:p>
        </w:tc>
        <w:tc>
          <w:tcPr>
            <w:tcW w:type="dxa" w:w="1701"/>
            <w:shd w:fill="4472C4" w:val="clear"/>
          </w:tcPr>
          <w:p>
            <w:r>
              <w:rPr>
                <w:b/>
                <w:color w:val="FFFFFF"/>
                <w:sz w:val="18"/>
              </w:rPr>
              <w:t>依賴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修 P0 bugs (EBE, TP/CP sentinel, agent type join)</w:t>
              <w:br/>
              <w:t>+ golden regression test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 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無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常數外部化 YAML</w:t>
              <w:br/>
              <w:t>(rules, benchmarks, coherence tables)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 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Phase 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拆分子模組</w:t>
              <w:br/>
              <w:t>(metrics/, io/, reporting/)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 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BehavioralTheory protocol</w:t>
              <w:br/>
              <w:t>+ TheoryRegistry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 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BenchmarkComputation plugins</w:t>
              <w:br/>
              <w:t>+ YAML 定義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 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Streaming TraceReader</w:t>
              <w:br/>
              <w:t>+ ValidationRunner facade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 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Phase 2-4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~9 天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</w:r>
          </w:p>
        </w:tc>
      </w:tr>
    </w:tbl>
    <w:p/>
    <w:p>
      <w:r>
        <w:rPr>
          <w:b/>
        </w:rPr>
        <w:t>Phase 優先級說明：</w:t>
      </w:r>
      <w:r>
        <w:t>Phase 0 為 blocking — 必須在任何 production run 之前完成。Phase 1-2 為基礎架構，Phase 3-5 可平行進行。建議在 Phase 0 完成後即可繼續 400×13yr production run，架構重構可與 production run 平行進行。</w:t>
      </w:r>
    </w:p>
    <w:p>
      <w:pPr>
        <w:pStyle w:val="Heading1"/>
      </w:pPr>
      <w:r>
        <w:t>11. 附錄：各專家報告摘要</w:t>
      </w:r>
    </w:p>
    <w:p>
      <w:pPr>
        <w:pStyle w:val="Heading2"/>
      </w:pPr>
      <w:r>
        <w:t>11.1 LLM 行為工程專家</w:t>
      </w:r>
    </w:p>
    <w:p>
      <w:r>
        <w:t>15 項建議，依 priority 分佈：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35"/>
            <w:shd w:fill="4472C4" w:val="clear"/>
          </w:tcPr>
          <w:p>
            <w:r>
              <w:rPr>
                <w:b/>
                <w:color w:val="FFFFFF"/>
                <w:sz w:val="18"/>
              </w:rPr>
              <w:t>數量</w:t>
            </w:r>
          </w:p>
        </w:tc>
        <w:tc>
          <w:tcPr>
            <w:tcW w:type="dxa" w:w="3135"/>
            <w:shd w:fill="4472C4" w:val="clear"/>
          </w:tcPr>
          <w:p>
            <w:r>
              <w:rPr>
                <w:b/>
                <w:color w:val="FFFFFF"/>
                <w:sz w:val="18"/>
              </w:rPr>
              <w:t>主要項目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EBE entropy bug, TP/CP silent 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Sycophancy detection, CACR temporal, Construct grounding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Reasoning faithfulness, Cross-model normalization,</w:t>
              <w:br/>
              <w:t>Prompt-response independence, Label circularity,</w:t>
              <w:br/>
              <w:t>Hallucination taxonomy, Output format drift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Confidence calibration, Chain-of-thought analysis,</w:t>
              <w:br/>
              <w:t>Multi-turn consistency, Temperature sensitivity</w:t>
            </w:r>
          </w:p>
        </w:tc>
      </w:tr>
    </w:tbl>
    <w:p>
      <w:pPr>
        <w:pStyle w:val="Heading2"/>
      </w:pPr>
      <w:r>
        <w:t>11.2 行為/社會科學專家</w:t>
      </w:r>
    </w:p>
    <w:p>
      <w:r>
        <w:t>8 項建議，依 severity 排列：</w:t>
      </w:r>
    </w:p>
    <w:p>
      <w:pPr>
        <w:pStyle w:val="ListBullet"/>
      </w:pPr>
      <w:r>
        <w:t>(Critical) Construct label circularity — self-consistency ≠ construct validity</w:t>
      </w:r>
    </w:p>
    <w:p>
      <w:pPr>
        <w:pStyle w:val="ListBullet"/>
      </w:pPr>
      <w:r>
        <w:t>(Critical) Agent type inference circularity</w:t>
      </w:r>
    </w:p>
    <w:p>
      <w:pPr>
        <w:pStyle w:val="ListBullet"/>
      </w:pPr>
      <w:r>
        <w:t>(High) Frame-conditional theory support (PT, Nudge)</w:t>
      </w:r>
    </w:p>
    <w:p>
      <w:pPr>
        <w:pStyle w:val="ListBullet"/>
      </w:pPr>
      <w:r>
        <w:t>(High) Social contagion metric — neighbor adoption effect</w:t>
      </w:r>
    </w:p>
    <w:p>
      <w:pPr>
        <w:pStyle w:val="ListBullet"/>
      </w:pPr>
      <w:r>
        <w:t>(Medium) Norm emergence entropy — 需配合 "no convergence claim" 原則</w:t>
      </w:r>
    </w:p>
    <w:p>
      <w:pPr>
        <w:pStyle w:val="ListBullet"/>
      </w:pPr>
      <w:r>
        <w:t>(Medium) Rejection cascade metric</w:t>
      </w:r>
    </w:p>
    <w:p>
      <w:pPr>
        <w:pStyle w:val="ListBullet"/>
      </w:pPr>
      <w:r>
        <w:t>(Low) Cross-cultural construct validity (not applicable to current study)</w:t>
      </w:r>
    </w:p>
    <w:p>
      <w:pPr>
        <w:pStyle w:val="ListBullet"/>
      </w:pPr>
      <w:r>
        <w:t>(Low) Longitudinal construct stability check</w:t>
      </w:r>
    </w:p>
    <w:p>
      <w:pPr>
        <w:pStyle w:val="Heading2"/>
      </w:pPr>
      <w:r>
        <w:t>11.3 水資源工程專家</w:t>
      </w:r>
    </w:p>
    <w:p>
      <w:r>
        <w:t>8 項建議，依 priority 排列：</w:t>
      </w:r>
    </w:p>
    <w:p>
      <w:pPr>
        <w:pStyle w:val="ListBullet"/>
      </w:pPr>
      <w:r>
        <w:t>(P0) Elevation rate capacity constraint — per-year cap</w:t>
      </w:r>
    </w:p>
    <w:p>
      <w:pPr>
        <w:pStyle w:val="ListBullet"/>
      </w:pPr>
      <w:r>
        <w:t>(P1) Spatial validation metrics (Moran's I, gradient slope)</w:t>
      </w:r>
    </w:p>
    <w:p>
      <w:pPr>
        <w:pStyle w:val="ListBullet"/>
      </w:pPr>
      <w:r>
        <w:t>(P1) Post-flood spike ratio benchmark</w:t>
      </w:r>
    </w:p>
    <w:p>
      <w:pPr>
        <w:pStyle w:val="ListBullet"/>
      </w:pPr>
      <w:r>
        <w:t>(P1) Insurance survival half-life</w:t>
      </w:r>
    </w:p>
    <w:p>
      <w:pPr>
        <w:pStyle w:val="ListBullet"/>
      </w:pPr>
      <w:r>
        <w:t>(P2) Cross-domain extension specs (groundwater, urban, drought)</w:t>
      </w:r>
    </w:p>
    <w:p>
      <w:pPr>
        <w:pStyle w:val="ListBullet"/>
      </w:pPr>
      <w:r>
        <w:t>(P2) Subsidy feedback damping</w:t>
      </w:r>
    </w:p>
    <w:p>
      <w:pPr>
        <w:pStyle w:val="ListBullet"/>
      </w:pPr>
      <w:r>
        <w:t>(P3) Climate scenario sensitivity (RCP/SSP pathways)</w:t>
      </w:r>
    </w:p>
    <w:p>
      <w:pPr>
        <w:pStyle w:val="ListBullet"/>
      </w:pPr>
      <w:r>
        <w:t>(P3) Compound hazard interaction (flood + drought)</w:t>
      </w:r>
    </w:p>
    <w:p>
      <w:pPr>
        <w:pStyle w:val="Heading2"/>
      </w:pPr>
      <w:r>
        <w:t>11.4 資工系教授</w:t>
      </w:r>
    </w:p>
    <w:p>
      <w:r>
        <w:t>完整架構重構方案：</w:t>
      </w:r>
    </w:p>
    <w:p>
      <w:pPr>
        <w:pStyle w:val="ListBullet"/>
      </w:pPr>
      <w:r>
        <w:t>7 子模組拆分 (theories, hallucinations, benchmarks, metrics, io, reporting, engine)</w:t>
      </w:r>
    </w:p>
    <w:p>
      <w:pPr>
        <w:pStyle w:val="ListBullet"/>
      </w:pPr>
      <w:r>
        <w:t>5 phase migration plan (見 Section 10)</w:t>
      </w:r>
    </w:p>
    <w:p>
      <w:pPr>
        <w:pStyle w:val="ListBullet"/>
      </w:pPr>
      <w:r>
        <w:t>Streaming TraceReader with O(N_agents) memory</w:t>
      </w:r>
    </w:p>
    <w:p>
      <w:pPr>
        <w:pStyle w:val="ListBullet"/>
      </w:pPr>
      <w:r>
        <w:t>Plugin-based benchmark computation</w:t>
      </w:r>
    </w:p>
    <w:p>
      <w:pPr>
        <w:pStyle w:val="ListBullet"/>
      </w:pPr>
      <w:r>
        <w:t>60+ test strategy: unit tests per sub-module + integration test suite + regression golden files</w:t>
      </w:r>
    </w:p>
    <w:p>
      <w:pPr>
        <w:pStyle w:val="ListBullet"/>
      </w:pPr>
      <w:r>
        <w:t>CI/CD integration: validation metrics as GitHub Actions check</w:t>
      </w:r>
    </w:p>
    <w:p/>
    <w:p>
      <w:pPr>
        <w:jc w:val="center"/>
      </w:pPr>
      <w:r>
        <w:rPr>
          <w:i/>
          <w:color w:val="808080"/>
        </w:rPr>
        <w:t>— End of Report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