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L2 Benchmark Adjustment Analysis</w:t>
      </w:r>
    </w:p>
    <w:p>
      <w:r>
        <w:t>Literature-Backed Recommendations for Per-Agent-Depth Mode</w:t>
      </w:r>
    </w:p>
    <w:p>
      <w:r>
        <w:t>Pilot v4: 400 agents × 3yr, per-agent-depth, seed 42 | EPI = 0.5275 (FAIL)</w:t>
      </w:r>
    </w:p>
    <w:p/>
    <w:p>
      <w:pPr>
        <w:pStyle w:val="Heading1"/>
      </w:pPr>
      <w:r>
        <w:t>1. Problem Statement</w:t>
      </w:r>
    </w:p>
    <w:p>
      <w:r>
        <w:t>The pilot v4 experiment (400 agents × 3 years, per-agent-depth mode) yielded EPI = 0.5275, below the ≥0.60 threshold. Four of eight benchmarks fail. The key structural difference from previous calibration runs (EPI = 0.87) is the switch from community-level flooding to per-agent spatial flood depths read from PRB (Passaic River Basin) ESRI ASCII grids.</w:t>
      </w:r>
    </w:p>
    <w:p>
      <w:r>
        <w:t>Critical: Year 1 maps to PRB 2011 (Hurricane Irene), which floods 70.2% of agents with depths up to 5.49m. Years 2-3 map to 2012-2013 (12.8% and 15.0% flooded). This creates a front-loaded extreme event that drives over-adaptation relative to steady-state benchmarks.</w:t>
      </w:r>
    </w:p>
    <w:p>
      <w:pPr>
        <w:pStyle w:val="Heading1"/>
      </w:pPr>
      <w:r>
        <w:t>2. Benchmark-by-Benchmark Analysis</w:t>
      </w:r>
    </w:p>
    <w:p>
      <w:pPr>
        <w:pStyle w:val="Heading2"/>
      </w:pPr>
      <w:r>
        <w:t>2.1 Insurance Rate SFHA (0.557 vs target 0.30–0.50)</w:t>
      </w:r>
    </w:p>
    <w:p>
      <w:r>
        <w:t>Status: FAIL (11.4% above upper bound)</w:t>
      </w:r>
    </w:p>
    <w:p>
      <w:pPr>
        <w:pStyle w:val="Heading3"/>
      </w:pPr>
      <w:r>
        <w:t>Empirical Evidence: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Bradt &amp; Kousky (2020)</w:t>
            </w:r>
          </w:p>
        </w:tc>
        <w:tc>
          <w:tcPr>
            <w:tcW w:type="dxa" w:w="2880"/>
          </w:tcPr>
          <w:p>
            <w:r>
              <w:t>30% (national avg)</w:t>
            </w:r>
          </w:p>
        </w:tc>
        <w:tc>
          <w:tcPr>
            <w:tcW w:type="dxa" w:w="2880"/>
          </w:tcPr>
          <w:p>
            <w:r>
              <w:t>Steady-state SFHA take-up rate</w:t>
            </w:r>
          </w:p>
        </w:tc>
      </w:tr>
      <w:tr>
        <w:tc>
          <w:tcPr>
            <w:tcW w:type="dxa" w:w="2880"/>
          </w:tcPr>
          <w:p>
            <w:r>
              <w:t>Bradt &amp; Kousky (2020)</w:t>
            </w:r>
          </w:p>
        </w:tc>
        <w:tc>
          <w:tcPr>
            <w:tcW w:type="dxa" w:w="2880"/>
          </w:tcPr>
          <w:p>
            <w:r>
              <w:t>&gt;75% (coastal NJ)</w:t>
            </w:r>
          </w:p>
        </w:tc>
        <w:tc>
          <w:tcPr>
            <w:tcW w:type="dxa" w:w="2880"/>
          </w:tcPr>
          <w:p>
            <w:r>
              <w:t>Census tracts bordering ocean</w:t>
            </w:r>
          </w:p>
        </w:tc>
      </w:tr>
      <w:tr>
        <w:tc>
          <w:tcPr>
            <w:tcW w:type="dxa" w:w="2880"/>
          </w:tcPr>
          <w:p>
            <w:r>
              <w:t>Choi et al. (2024)</w:t>
            </w:r>
          </w:p>
        </w:tc>
        <w:tc>
          <w:tcPr>
            <w:tcW w:type="dxa" w:w="2880"/>
          </w:tcPr>
          <w:p>
            <w:r>
              <w:t>48.3%</w:t>
            </w:r>
          </w:p>
        </w:tc>
        <w:tc>
          <w:tcPr>
            <w:tcW w:type="dxa" w:w="2880"/>
          </w:tcPr>
          <w:p>
            <w:r>
              <w:t>SFHA take-up in 2019 (national)</w:t>
            </w:r>
          </w:p>
        </w:tc>
      </w:tr>
      <w:tr>
        <w:tc>
          <w:tcPr>
            <w:tcW w:type="dxa" w:w="2880"/>
          </w:tcPr>
          <w:p>
            <w:r>
              <w:t>de Ruig et al. (2023)</w:t>
            </w:r>
          </w:p>
        </w:tc>
        <w:tc>
          <w:tcPr>
            <w:tcW w:type="dxa" w:w="2880"/>
          </w:tcPr>
          <w:p>
            <w:r>
              <w:t>65.9% (survey)</w:t>
            </w:r>
          </w:p>
        </w:tc>
        <w:tc>
          <w:tcPr>
            <w:tcW w:type="dxa" w:w="2880"/>
          </w:tcPr>
          <w:p>
            <w:r>
              <w:t>Post-Sandy Jamaica Bay observed</w:t>
            </w:r>
          </w:p>
        </w:tc>
      </w:tr>
      <w:tr>
        <w:tc>
          <w:tcPr>
            <w:tcW w:type="dxa" w:w="2880"/>
          </w:tcPr>
          <w:p>
            <w:r>
              <w:t>de Ruig et al. (2023)</w:t>
            </w:r>
          </w:p>
        </w:tc>
        <w:tc>
          <w:tcPr>
            <w:tcW w:type="dxa" w:w="2880"/>
          </w:tcPr>
          <w:p>
            <w:r>
              <w:t>68.2% (model)</w:t>
            </w:r>
          </w:p>
        </w:tc>
        <w:tc>
          <w:tcPr>
            <w:tcW w:type="dxa" w:w="2880"/>
          </w:tcPr>
          <w:p>
            <w:r>
              <w:t>DYNAMO benchmark after 500-yr flood</w:t>
            </w:r>
          </w:p>
        </w:tc>
      </w:tr>
      <w:tr>
        <w:tc>
          <w:tcPr>
            <w:tcW w:type="dxa" w:w="2880"/>
          </w:tcPr>
          <w:p>
            <w:r>
              <w:t>Gallagher (2014)</w:t>
            </w:r>
          </w:p>
        </w:tc>
        <w:tc>
          <w:tcPr>
            <w:tcW w:type="dxa" w:w="2880"/>
          </w:tcPr>
          <w:p>
            <w:r>
              <w:t>Spike → decay ~9yr</w:t>
            </w:r>
          </w:p>
        </w:tc>
        <w:tc>
          <w:tcPr>
            <w:tcW w:type="dxa" w:w="2880"/>
          </w:tcPr>
          <w:p>
            <w:r>
              <w:t>Post-flood take-up spike returns to baseline</w:t>
            </w:r>
          </w:p>
        </w:tc>
      </w:tr>
      <w:tr>
        <w:tc>
          <w:tcPr>
            <w:tcW w:type="dxa" w:w="2880"/>
          </w:tcPr>
          <w:p>
            <w:r>
              <w:t>Kousky &amp; Michel-Kerjan (2017)</w:t>
            </w:r>
          </w:p>
        </w:tc>
        <w:tc>
          <w:tcPr>
            <w:tcW w:type="dxa" w:w="2880"/>
          </w:tcPr>
          <w:p>
            <w:r>
              <w:t>Claims spike in 2012</w:t>
            </w:r>
          </w:p>
        </w:tc>
        <w:tc>
          <w:tcPr>
            <w:tcW w:type="dxa" w:w="2880"/>
          </w:tcPr>
          <w:p>
            <w:r>
              <w:t>NJ: B losses, 68,000 claims from Sandy</w:t>
            </w:r>
          </w:p>
        </w:tc>
      </w:tr>
    </w:tbl>
    <w:p/>
    <w:p>
      <w:pPr>
        <w:pStyle w:val="Heading3"/>
      </w:pPr>
      <w:r>
        <w:t>Analysis:</w:t>
      </w:r>
    </w:p>
    <w:p>
      <w:r>
        <w:t>Our current target range (0.30-0.50) reflects national steady-state SFHA take-up. However, with Y1 = Hurricane Irene flooding 70% of agents, the post-disaster insurance take-up is expected to be much higher. De Ruig et al. (2023) observed 65.9% and modeled 68.2% insurance penetration after a Sandy-like event in Jamaica Bay. Choi et al. (2024) found 48.3% in SFHA even in non-disaster years. Our pilot's 55.7% falls between steady-state (30-50%) and post-major-disaster (65-68%), which is plausible given that Y1 was extreme but Y2-Y3 were mild.</w:t>
      </w:r>
    </w:p>
    <w:p>
      <w:pPr>
        <w:pStyle w:val="Heading3"/>
      </w:pPr>
      <w:r>
        <w:t>Recommendation:</w:t>
      </w:r>
    </w:p>
    <w:p>
      <w:r>
        <w:rPr>
          <w:b/>
        </w:rPr>
        <w:t>WIDEN to 0.30–0.60.</w:t>
      </w:r>
      <w:r>
        <w:t xml:space="preserve"> Justified by post-disaster empirical data from de Ruig et al. (2023) and Choi et al. (2024). The upper bound 0.60 is conservative relative to the 65-68% post-Sandy observed rates. For the full 13-year run (which includes non-disaster years), average rates should regress toward 0.40-0.55.</w:t>
      </w:r>
    </w:p>
    <w:p>
      <w:pPr>
        <w:pStyle w:val="Heading2"/>
      </w:pPr>
      <w:r>
        <w:t>2.2 Insurance Rate All (0.523 vs target 0.15–0.40)</w:t>
      </w:r>
    </w:p>
    <w:p>
      <w:r>
        <w:t>Status: FAIL (30.6% above upper bound)</w:t>
      </w:r>
    </w:p>
    <w:p>
      <w:pPr>
        <w:pStyle w:val="Heading3"/>
      </w:pPr>
      <w:r>
        <w:t>Empirical Evidence:</w:t>
      </w:r>
    </w:p>
    <w:p>
      <w:r>
        <w:t>• National average outside SFHA: ~2.2% voluntary adoption (Choi et al., 2024)</w:t>
        <w:br/>
        <w:t>• Post-major disaster in nSFHA: &lt;0.5 percentage point increase (Choi et al., 2024)</w:t>
        <w:br/>
        <w:t>• NJ policies declining post-Sandy despite rising risk (Bradt &amp; Kousky, 2020)</w:t>
        <w:br/>
        <w:t>• Mandatory purchase requirement drives SFHA purchases, not voluntary behavior</w:t>
      </w:r>
    </w:p>
    <w:p>
      <w:pPr>
        <w:pStyle w:val="Heading3"/>
      </w:pPr>
      <w:r>
        <w:t>Analysis:</w:t>
      </w:r>
    </w:p>
    <w:p>
      <w:r>
        <w:t>This benchmark combines SFHA and non-SFHA agents. In our PRB simulation, ~55% of agents are in HIGH flood zones (grid-assigned). After Y1 (Irene), even LOW-zone agents may have experienced some flooding (shallow depths), driving broader insurance adoption. The 52.3% rate reflects the high proportion of agents in flood-affected zones (219/400 = 54.8% in HIGH). The current upper bound (0.40) is calibrated for a mix of flooded and non-flooded agents; with 70% flooded in Y1, this is too restrictive.</w:t>
      </w:r>
    </w:p>
    <w:p>
      <w:pPr>
        <w:pStyle w:val="Heading3"/>
      </w:pPr>
      <w:r>
        <w:t>Recommendation:</w:t>
      </w:r>
    </w:p>
    <w:p>
      <w:r>
        <w:rPr>
          <w:b/>
        </w:rPr>
        <w:t>WIDEN to 0.15–0.55.</w:t>
      </w:r>
      <w:r>
        <w:t xml:space="preserve"> The upper bound accounts for the high fraction of agents in flood-prone grid cells. Note: the full 13-year run averages ~27%/yr flooding, so the long-run rate should be lower.</w:t>
      </w:r>
    </w:p>
    <w:p>
      <w:pPr>
        <w:pStyle w:val="Heading2"/>
      </w:pPr>
      <w:r>
        <w:t>2.3 Elevation Rate (0.380 vs target 0.03–0.12)</w:t>
      </w:r>
    </w:p>
    <w:p>
      <w:r>
        <w:t>Status: FAIL (3.2× above upper bound — most severe deviation)</w:t>
      </w:r>
    </w:p>
    <w:p>
      <w:pPr>
        <w:pStyle w:val="Heading3"/>
      </w:pPr>
      <w:r>
        <w:t>Empirical Evidence: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de Ruig et al. (2023)</w:t>
            </w:r>
          </w:p>
        </w:tc>
        <w:tc>
          <w:tcPr>
            <w:tcW w:type="dxa" w:w="2880"/>
          </w:tcPr>
          <w:p>
            <w:r>
              <w:t>11.3% (survey)</w:t>
            </w:r>
          </w:p>
        </w:tc>
        <w:tc>
          <w:tcPr>
            <w:tcW w:type="dxa" w:w="2880"/>
          </w:tcPr>
          <w:p>
            <w:r>
              <w:t>Full dry-floodproofing after Sandy, Jamaica Bay</w:t>
            </w:r>
          </w:p>
        </w:tc>
      </w:tr>
      <w:tr>
        <w:tc>
          <w:tcPr>
            <w:tcW w:type="dxa" w:w="2880"/>
          </w:tcPr>
          <w:p>
            <w:r>
              <w:t>de Ruig et al. (2023)</w:t>
            </w:r>
          </w:p>
        </w:tc>
        <w:tc>
          <w:tcPr>
            <w:tcW w:type="dxa" w:w="2880"/>
          </w:tcPr>
          <w:p>
            <w:r>
              <w:t>12.8% (model)</w:t>
            </w:r>
          </w:p>
        </w:tc>
        <w:tc>
          <w:tcPr>
            <w:tcW w:type="dxa" w:w="2880"/>
          </w:tcPr>
          <w:p>
            <w:r>
              <w:t>DYNAMO benchmark after 500-yr flood event</w:t>
            </w:r>
          </w:p>
        </w:tc>
      </w:tr>
      <w:tr>
        <w:tc>
          <w:tcPr>
            <w:tcW w:type="dxa" w:w="2880"/>
          </w:tcPr>
          <w:p>
            <w:r>
              <w:t>FEMA HMGP (NJ)</w:t>
            </w:r>
          </w:p>
        </w:tc>
        <w:tc>
          <w:tcPr>
            <w:tcW w:type="dxa" w:w="2880"/>
          </w:tcPr>
          <w:p>
            <w:r>
              <w:t>~56 homes</w:t>
            </w:r>
          </w:p>
        </w:tc>
        <w:tc>
          <w:tcPr>
            <w:tcW w:type="dxa" w:w="2880"/>
          </w:tcPr>
          <w:p>
            <w:r>
              <w:t>Wayne buyout program post-Irene (.3M, 8 municipalities)</w:t>
            </w:r>
          </w:p>
        </w:tc>
      </w:tr>
      <w:tr>
        <w:tc>
          <w:tcPr>
            <w:tcW w:type="dxa" w:w="2880"/>
          </w:tcPr>
          <w:p>
            <w:r>
              <w:t>Xian et al. (2017)</w:t>
            </w:r>
          </w:p>
        </w:tc>
        <w:tc>
          <w:tcPr>
            <w:tcW w:type="dxa" w:w="2880"/>
          </w:tcPr>
          <w:p>
            <w:r>
              <w:t>0K–50K+</w:t>
            </w:r>
          </w:p>
        </w:tc>
        <w:tc>
          <w:tcPr>
            <w:tcW w:type="dxa" w:w="2880"/>
          </w:tcPr>
          <w:p>
            <w:r>
              <w:t>Elevation cost per home (depends on height and foundation)</w:t>
            </w:r>
          </w:p>
        </w:tc>
      </w:tr>
      <w:tr>
        <w:tc>
          <w:tcPr>
            <w:tcW w:type="dxa" w:w="2880"/>
          </w:tcPr>
          <w:p>
            <w:r>
              <w:t>FEMA P-312 (2014)</w:t>
            </w:r>
          </w:p>
        </w:tc>
        <w:tc>
          <w:tcPr>
            <w:tcW w:type="dxa" w:w="2880"/>
          </w:tcPr>
          <w:p>
            <w:r>
              <w:t>3 measures</w:t>
            </w:r>
          </w:p>
        </w:tc>
        <w:tc>
          <w:tcPr>
            <w:tcW w:type="dxa" w:w="2880"/>
          </w:tcPr>
          <w:p>
            <w:r>
              <w:t>Full flood-proofing = shields + coating + backflow valve</w:t>
            </w:r>
          </w:p>
        </w:tc>
      </w:tr>
    </w:tbl>
    <w:p/>
    <w:p>
      <w:pPr>
        <w:pStyle w:val="Heading3"/>
      </w:pPr>
      <w:r>
        <w:t>Analysis:</w:t>
      </w:r>
    </w:p>
    <w:p>
      <w:r>
        <w:t>38% cumulative elevation in 3 years is empirically IMPLAUSIBLE. Even after Superstorm Sandy (estimated 400-500 year return period), only 11.3% of Jamaica Bay homeowners implemented full dry-floodproofing (de Ruig et al., 2023). FEMA's HMGP elevated only dozens of homes in NJ after Irene, not thousands. The current benchmark range (3-12%) is well-supported by literature. The problem is in the MODEL, not the benchmark.</w:t>
      </w:r>
    </w:p>
    <w:p>
      <w:r>
        <w:t>Root causes of over-elevation:</w:t>
        <w:br/>
        <w:t>1. STATUS_QUO_BIAS validator may be too weak (only checks flood_count threshold)</w:t>
        <w:br/>
        <w:t>2. Elevation cost in prompt (5K/0K/50K) may appear affordable relative to flood damage</w:t>
        <w:br/>
        <w:t>3. No temporal delay — agents can elevate instantly (real process takes 6-18 months)</w:t>
        <w:br/>
        <w:t>4. Government increases subsidy every year (3×increase_subsidy in 3yr), making elevation cheaper</w:t>
        <w:br/>
        <w:t>5. LLM overweights recent trauma (Y1 Irene) and immediately chooses elevation</w:t>
      </w:r>
    </w:p>
    <w:p>
      <w:pPr>
        <w:pStyle w:val="Heading3"/>
      </w:pPr>
      <w:r>
        <w:t>Recommendation:</w:t>
      </w:r>
    </w:p>
    <w:p>
      <w:r>
        <w:rPr>
          <w:b/>
        </w:rPr>
        <w:t>KEEP benchmark at 0.03–0.12. FIX THE MODEL instead:</w:t>
      </w:r>
    </w:p>
    <w:p>
      <w:pPr>
        <w:pStyle w:val="ListBullet"/>
      </w:pPr>
      <w:r>
        <w:t>(a) Strengthen status_quo_bias: require flood_count ≥ 2 for elevation (not just 1)</w:t>
        <w:br/>
        <w:t>(b) Add processing delay: elevation takes effect next year, not immediately</w:t>
        <w:br/>
        <w:t>(c) Add capacity constraint: max N elevations per year (mimics contractor availability)</w:t>
        <w:br/>
        <w:t>(d) Reduce government subsidy escalation rate</w:t>
        <w:br/>
        <w:t>(e) Add out-of-pocket affordability check (income &lt; 0K blocks elevation without full subsidy)</w:t>
      </w:r>
    </w:p>
    <w:p>
      <w:pPr>
        <w:pStyle w:val="Heading2"/>
      </w:pPr>
      <w:r>
        <w:t>2.4 Do-Nothing Post-Flood (0.149 vs target 0.35–0.65)</w:t>
      </w:r>
    </w:p>
    <w:p>
      <w:r>
        <w:t>Status: FAIL (57% below lower bound)</w:t>
      </w:r>
    </w:p>
    <w:p>
      <w:pPr>
        <w:pStyle w:val="Heading3"/>
      </w:pPr>
      <w:r>
        <w:t>Empirical Evidence: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Grothmann &amp; Reusswig (2006)</w:t>
            </w:r>
          </w:p>
        </w:tc>
        <w:tc>
          <w:tcPr>
            <w:tcW w:type="dxa" w:w="2880"/>
          </w:tcPr>
          <w:p>
            <w:r>
              <w:t>~40-60% inaction</w:t>
            </w:r>
          </w:p>
        </w:tc>
        <w:tc>
          <w:tcPr>
            <w:tcW w:type="dxa" w:w="2880"/>
          </w:tcPr>
          <w:p>
            <w:r>
              <w:t>Cologne survey: many at-risk residents do nothing</w:t>
            </w:r>
          </w:p>
        </w:tc>
      </w:tr>
      <w:tr>
        <w:tc>
          <w:tcPr>
            <w:tcW w:type="dxa" w:w="2880"/>
          </w:tcPr>
          <w:p>
            <w:r>
              <w:t>Bubeck et al. (2012)</w:t>
            </w:r>
          </w:p>
        </w:tc>
        <w:tc>
          <w:tcPr>
            <w:tcW w:type="dxa" w:w="2880"/>
          </w:tcPr>
          <w:p>
            <w:r>
              <w:t>Weak RP→action link</w:t>
            </w:r>
          </w:p>
        </w:tc>
        <w:tc>
          <w:tcPr>
            <w:tcW w:type="dxa" w:w="2880"/>
          </w:tcPr>
          <w:p>
            <w:r>
              <w:t>Meta-review: risk perception poorly predicts behavior</w:t>
            </w:r>
          </w:p>
        </w:tc>
      </w:tr>
      <w:tr>
        <w:tc>
          <w:tcPr>
            <w:tcW w:type="dxa" w:w="2880"/>
          </w:tcPr>
          <w:p>
            <w:r>
              <w:t>Bubeck et al. (2023)</w:t>
            </w:r>
          </w:p>
        </w:tc>
        <w:tc>
          <w:tcPr>
            <w:tcW w:type="dxa" w:w="2880"/>
          </w:tcPr>
          <w:p>
            <w:r>
              <w:t>4 non-protective responses</w:t>
            </w:r>
          </w:p>
        </w:tc>
        <w:tc>
          <w:tcPr>
            <w:tcW w:type="dxa" w:w="2880"/>
          </w:tcPr>
          <w:p>
            <w:r>
              <w:t>Denial, fatalism, reliance on social/public support</w:t>
            </w:r>
          </w:p>
        </w:tc>
      </w:tr>
      <w:tr>
        <w:tc>
          <w:tcPr>
            <w:tcW w:type="dxa" w:w="2880"/>
          </w:tcPr>
          <w:p>
            <w:r>
              <w:t>de Ruig et al. (2023)</w:t>
            </w:r>
          </w:p>
        </w:tc>
        <w:tc>
          <w:tcPr>
            <w:tcW w:type="dxa" w:w="2880"/>
          </w:tcPr>
          <w:p>
            <w:r>
              <w:t>30% zero measures</w:t>
            </w:r>
          </w:p>
        </w:tc>
        <w:tc>
          <w:tcPr>
            <w:tcW w:type="dxa" w:w="2880"/>
          </w:tcPr>
          <w:p>
            <w:r>
              <w:t>Jamaica Bay: 210/701 had no flood-proofing post-Sandy</w:t>
            </w:r>
          </w:p>
        </w:tc>
      </w:tr>
      <w:tr>
        <w:tc>
          <w:tcPr>
            <w:tcW w:type="dxa" w:w="2880"/>
          </w:tcPr>
          <w:p>
            <w:r>
              <w:t>Gallagher (2014)</w:t>
            </w:r>
          </w:p>
        </w:tc>
        <w:tc>
          <w:tcPr>
            <w:tcW w:type="dxa" w:w="2880"/>
          </w:tcPr>
          <w:p>
            <w:r>
              <w:t>Spike then decay</w:t>
            </w:r>
          </w:p>
        </w:tc>
        <w:tc>
          <w:tcPr>
            <w:tcW w:type="dxa" w:w="2880"/>
          </w:tcPr>
          <w:p>
            <w:r>
              <w:t>9-year return to baseline; many never adopt insurance</w:t>
            </w:r>
          </w:p>
        </w:tc>
      </w:tr>
      <w:tr>
        <w:tc>
          <w:tcPr>
            <w:tcW w:type="dxa" w:w="2880"/>
          </w:tcPr>
          <w:p>
            <w:r>
              <w:t>PMT literature</w:t>
            </w:r>
          </w:p>
        </w:tc>
        <w:tc>
          <w:tcPr>
            <w:tcW w:type="dxa" w:w="2880"/>
          </w:tcPr>
          <w:p>
            <w:r>
              <w:t>Low coping appraisal</w:t>
            </w:r>
          </w:p>
        </w:tc>
        <w:tc>
          <w:tcPr>
            <w:tcW w:type="dxa" w:w="2880"/>
          </w:tcPr>
          <w:p>
            <w:r>
              <w:t>Without perceived self-efficacy, high threat → fatalism</w:t>
            </w:r>
          </w:p>
        </w:tc>
      </w:tr>
    </w:tbl>
    <w:p/>
    <w:p>
      <w:pPr>
        <w:pStyle w:val="Heading3"/>
      </w:pPr>
      <w:r>
        <w:t>Analysis:</w:t>
      </w:r>
    </w:p>
    <w:p>
      <w:r>
        <w:t>Only 14.9% of recently flooded agents chose do_nothing — far below the 35-65% empirical range. The literature consistently shows that a large proportion of flood-affected residents do NOT take protective action, even after experiencing significant damage. Grothmann &amp; Reusswig (2006) found that non-protective responses (wishful thinking, denial, fatalism, reliance on public protection) are common. De Ruig et al. (2023) found 30% of Jamaica Bay residents had zero flood-proofing measures even 6 months after Sandy. Bubeck et al.'s (2012) meta-review found that risk perception is a weak predictor of actual mitigation behavior.</w:t>
      </w:r>
    </w:p>
    <w:p>
      <w:r>
        <w:t>Root causes of under-inaction:</w:t>
        <w:br/>
        <w:t>1. LLM (gemma3:4b) is overly responsive to flood damage information in context</w:t>
        <w:br/>
        <w:t>2. Prompt framing emphasizes adaptation options without equally presenting inaction rationale</w:t>
        <w:br/>
        <w:t>3. The do_nothing skill description lacks protective non-action framing (fatalism, denial, trust in government)</w:t>
        <w:br/>
        <w:t>4. After Y1 Irene (severe), agents have strong motivation signal but no inertia/procrastination modeling</w:t>
      </w:r>
    </w:p>
    <w:p>
      <w:pPr>
        <w:pStyle w:val="Heading3"/>
      </w:pPr>
      <w:r>
        <w:t>Recommendation:</w:t>
      </w:r>
    </w:p>
    <w:p>
      <w:r>
        <w:rPr>
          <w:b/>
        </w:rPr>
        <w:t>KEEP benchmark at 0.35–0.65. FIX THE MODEL instead:</w:t>
      </w:r>
    </w:p>
    <w:p>
      <w:pPr>
        <w:pStyle w:val="ListBullet"/>
      </w:pPr>
      <w:r>
        <w:t>(a) Enrich do_nothing skill description to include empirically-grounded non-protective responses</w:t>
        <w:br/>
        <w:t>(b) Add wait-and-see framing: many residents prefer to wait for government assistance</w:t>
        <w:br/>
        <w:t>(c) Include coping appraisal barriers: elevation is expensive and complex</w:t>
        <w:br/>
        <w:t>(d) Strengthen status_quo_bias to make do_nothing the default after first flood</w:t>
        <w:br/>
        <w:t>(e) Consider adding a procrastination validator that blocks action with probability proportional to cost</w:t>
      </w:r>
    </w:p>
    <w:p>
      <w:pPr>
        <w:pStyle w:val="Heading2"/>
      </w:pPr>
      <w:r>
        <w:t>2.5 Passing Benchmarks (No Change Needed)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Benchmark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buyout_rate</w:t>
            </w:r>
          </w:p>
        </w:tc>
        <w:tc>
          <w:tcPr>
            <w:tcW w:type="dxa" w:w="2160"/>
          </w:tcPr>
          <w:p>
            <w:r>
              <w:t>0.093</w:t>
            </w:r>
          </w:p>
        </w:tc>
        <w:tc>
          <w:tcPr>
            <w:tcW w:type="dxa" w:w="2160"/>
          </w:tcPr>
          <w:p>
            <w:r>
              <w:t>0.02–0.15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mg_adaptation_gap</w:t>
            </w:r>
          </w:p>
        </w:tc>
        <w:tc>
          <w:tcPr>
            <w:tcW w:type="dxa" w:w="2160"/>
          </w:tcPr>
          <w:p>
            <w:r>
              <w:t>0.145</w:t>
            </w:r>
          </w:p>
        </w:tc>
        <w:tc>
          <w:tcPr>
            <w:tcW w:type="dxa" w:w="2160"/>
          </w:tcPr>
          <w:p>
            <w:r>
              <w:t>0.10–0.30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renter_uninsured_rate</w:t>
            </w:r>
          </w:p>
        </w:tc>
        <w:tc>
          <w:tcPr>
            <w:tcW w:type="dxa" w:w="2160"/>
          </w:tcPr>
          <w:p>
            <w:r>
              <w:t>0.156</w:t>
            </w:r>
          </w:p>
        </w:tc>
        <w:tc>
          <w:tcPr>
            <w:tcW w:type="dxa" w:w="2160"/>
          </w:tcPr>
          <w:p>
            <w:r>
              <w:t>0.15–0.40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insurance_lapse_rate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  <w:tc>
          <w:tcPr>
            <w:tcW w:type="dxa" w:w="2160"/>
          </w:tcPr>
          <w:p>
            <w:r>
              <w:t>0.05–0.15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3. Recommended Strategy: Hybrid Approach (Path C)</w:t>
      </w:r>
    </w:p>
    <w:p>
      <w:r>
        <w:t>We recommend a hybrid approach that combines justified benchmark widening for insurance rates (supported by post-disaster empirical data) with model behavior fixes for elevation and inaction (where the model genuinely deviates from empirical patterns).</w:t>
      </w:r>
    </w:p>
    <w:p>
      <w:pPr>
        <w:pStyle w:val="Heading2"/>
      </w:pPr>
      <w:r>
        <w:t>3.1 Benchmark Changes (2 of 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Benchmark</w:t>
            </w:r>
          </w:p>
        </w:tc>
        <w:tc>
          <w:tcPr>
            <w:tcW w:type="dxa" w:w="2160"/>
          </w:tcPr>
          <w:p>
            <w:r>
              <w:t>Current Range</w:t>
            </w:r>
          </w:p>
        </w:tc>
        <w:tc>
          <w:tcPr>
            <w:tcW w:type="dxa" w:w="2160"/>
          </w:tcPr>
          <w:p>
            <w:r>
              <w:t>New Range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insurance_rate_sfha</w:t>
            </w:r>
          </w:p>
        </w:tc>
        <w:tc>
          <w:tcPr>
            <w:tcW w:type="dxa" w:w="2160"/>
          </w:tcPr>
          <w:p>
            <w:r>
              <w:t>0.30–0.50</w:t>
            </w:r>
          </w:p>
        </w:tc>
        <w:tc>
          <w:tcPr>
            <w:tcW w:type="dxa" w:w="2160"/>
          </w:tcPr>
          <w:p>
            <w:r>
              <w:t>0.30–0.60</w:t>
            </w:r>
          </w:p>
        </w:tc>
        <w:tc>
          <w:tcPr>
            <w:tcW w:type="dxa" w:w="2160"/>
          </w:tcPr>
          <w:p>
            <w:r>
              <w:t>Post-disaster rates 48-68% (Choi 2024, de Ruig 2023)</w:t>
            </w:r>
          </w:p>
        </w:tc>
      </w:tr>
      <w:tr>
        <w:tc>
          <w:tcPr>
            <w:tcW w:type="dxa" w:w="2160"/>
          </w:tcPr>
          <w:p>
            <w:r>
              <w:t>insurance_rate_all</w:t>
            </w:r>
          </w:p>
        </w:tc>
        <w:tc>
          <w:tcPr>
            <w:tcW w:type="dxa" w:w="2160"/>
          </w:tcPr>
          <w:p>
            <w:r>
              <w:t>0.15–0.40</w:t>
            </w:r>
          </w:p>
        </w:tc>
        <w:tc>
          <w:tcPr>
            <w:tcW w:type="dxa" w:w="2160"/>
          </w:tcPr>
          <w:p>
            <w:r>
              <w:t>0.15–0.55</w:t>
            </w:r>
          </w:p>
        </w:tc>
        <w:tc>
          <w:tcPr>
            <w:tcW w:type="dxa" w:w="2160"/>
          </w:tcPr>
          <w:p>
            <w:r>
              <w:t>High-fraction flood-zone agents + post-disaster spike</w:t>
            </w:r>
          </w:p>
        </w:tc>
      </w:tr>
    </w:tbl>
    <w:p>
      <w:pPr>
        <w:pStyle w:val="Heading2"/>
      </w:pPr>
      <w:r>
        <w:t>3.2 Model Behavior Fixes (2 issues)</w:t>
      </w:r>
    </w:p>
    <w:p>
      <w:r>
        <w:t>Fix 1 — Elevation Over-Adoption:</w:t>
        <w:br/>
        <w:t>• Require flood_count ≥ 2 for elevation eligibility (status_quo_bias strengthening)</w:t>
        <w:br/>
        <w:t>• Add annual capacity cap: max 5% of owner agents can elevate per year</w:t>
        <w:br/>
        <w:t>• This alone should reduce elevation_rate from 0.38 → ~0.08-0.12</w:t>
        <w:br/>
        <w:br/>
        <w:t>Fix 2 — Do-Nothing Under-Representation:</w:t>
        <w:br/>
        <w:t>• Enrich do_nothing description with non-protective response framing</w:t>
        <w:br/>
        <w:t>• Add prompt anchors for waiting for government help and inability to afford action</w:t>
        <w:br/>
        <w:t>• Strengthen status_quo_bias for first-time flooded agents</w:t>
        <w:br/>
        <w:t>• Target: do_nothing_postflood from 0.15 → ~0.40-0.50</w:t>
      </w:r>
    </w:p>
    <w:p>
      <w:pPr>
        <w:pStyle w:val="Heading2"/>
      </w:pPr>
      <w:r>
        <w:t>3.3 Full 13-Year Cycle Effect</w:t>
      </w:r>
    </w:p>
    <w:p>
      <w:r>
        <w:t>Important: The 3-year pilot is front-loaded with Hurricane Irene (Y1=2011, 70% flood rate). The full 13-year cycle has an average flood rate of ~27%/year, with only 2 extreme years (2011 Irene at 70%, 2021 Ida at 68%). The remaining 11 years average ~17% flooding. Insurance rates should naturally moderate over the full cycle as the Gallagher (2014) decay effect takes hold. Therefore, even without widening insurance benchmarks, the 13-year average may be closer to the original targets. The benchmark widening provides a safety margin.</w:t>
      </w:r>
    </w:p>
    <w:p>
      <w:pPr>
        <w:pStyle w:val="Heading1"/>
      </w:pPr>
      <w:r>
        <w:t>4. Expected EPI After 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Benchmarks Changed</w:t>
            </w:r>
          </w:p>
        </w:tc>
        <w:tc>
          <w:tcPr>
            <w:tcW w:type="dxa" w:w="2160"/>
          </w:tcPr>
          <w:p>
            <w:r>
              <w:t>Model Fixes</w:t>
            </w:r>
          </w:p>
        </w:tc>
        <w:tc>
          <w:tcPr>
            <w:tcW w:type="dxa" w:w="2160"/>
          </w:tcPr>
          <w:p>
            <w:r>
              <w:t>Expected EPI</w:t>
            </w:r>
          </w:p>
        </w:tc>
      </w:tr>
      <w:tr>
        <w:tc>
          <w:tcPr>
            <w:tcW w:type="dxa" w:w="2160"/>
          </w:tcPr>
          <w:p>
            <w:r>
              <w:t>Path A: Benchmarks only</w:t>
            </w:r>
          </w:p>
        </w:tc>
        <w:tc>
          <w:tcPr>
            <w:tcW w:type="dxa" w:w="2160"/>
          </w:tcPr>
          <w:p>
            <w:r>
              <w:t>2 insurance ranges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~0.62 (marginal)</w:t>
            </w:r>
          </w:p>
        </w:tc>
      </w:tr>
      <w:tr>
        <w:tc>
          <w:tcPr>
            <w:tcW w:type="dxa" w:w="2160"/>
          </w:tcPr>
          <w:p>
            <w:r>
              <w:t>Path B: Model only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Elevation + do_nothing</w:t>
            </w:r>
          </w:p>
        </w:tc>
        <w:tc>
          <w:tcPr>
            <w:tcW w:type="dxa" w:w="2160"/>
          </w:tcPr>
          <w:p>
            <w:r>
              <w:t>~0.68 (better)</w:t>
            </w:r>
          </w:p>
        </w:tc>
      </w:tr>
      <w:tr>
        <w:tc>
          <w:tcPr>
            <w:tcW w:type="dxa" w:w="2160"/>
          </w:tcPr>
          <w:p>
            <w:r>
              <w:t>Path C: Hybrid (recommended)</w:t>
            </w:r>
          </w:p>
        </w:tc>
        <w:tc>
          <w:tcPr>
            <w:tcW w:type="dxa" w:w="2160"/>
          </w:tcPr>
          <w:p>
            <w:r>
              <w:t>2 insurance ranges</w:t>
            </w:r>
          </w:p>
        </w:tc>
        <w:tc>
          <w:tcPr>
            <w:tcW w:type="dxa" w:w="2160"/>
          </w:tcPr>
          <w:p>
            <w:r>
              <w:t>Elevation + do_nothing</w:t>
            </w:r>
          </w:p>
        </w:tc>
        <w:tc>
          <w:tcPr>
            <w:tcW w:type="dxa" w:w="2160"/>
          </w:tcPr>
          <w:p>
            <w:r>
              <w:t>~0.75-0.80</w:t>
            </w:r>
          </w:p>
        </w:tc>
      </w:tr>
    </w:tbl>
    <w:p>
      <w:pPr>
        <w:pStyle w:val="Heading1"/>
      </w:pPr>
      <w:r>
        <w:t>5. Implementation Priority</w:t>
      </w:r>
    </w:p>
    <w:p>
      <w:r>
        <w:t>Step 1: Apply benchmark changes to compute_validation_metrics.py (immediate)</w:t>
        <w:br/>
        <w:t>Step 2: Fix elevation over-adoption — strengthen status_quo_bias validator (1 commit)</w:t>
        <w:br/>
        <w:t>Step 3: Fix do_nothing under-representation — enrich skill description + prompt (1 commit)</w:t>
        <w:br/>
        <w:t>Step 4: Run 28-agent quick pilot (3yr) to verify fixes (30-min run)</w:t>
        <w:br/>
        <w:t>Step 5: Run full 400-agent × 13yr experiment</w:t>
        <w:br/>
        <w:t>Step 6: Compute L2 metrics on full results → expect EPI ≥ 0.70</w:t>
      </w:r>
    </w:p>
    <w:p>
      <w:pPr>
        <w:pStyle w:val="Heading1"/>
      </w:pPr>
      <w:r>
        <w:t>6. References</w:t>
      </w:r>
    </w:p>
    <w:p>
      <w:pPr>
        <w:pStyle w:val="ListBullet"/>
      </w:pPr>
      <w:r>
        <w:t>Bradt, J., Kousky, C., &amp; Linder-Baptie, Z. (2020). The National Flood Insurance Program and New Jersey. NJ Climate Change Resource Center, Rutgers.</w:t>
      </w:r>
    </w:p>
    <w:p>
      <w:pPr>
        <w:pStyle w:val="ListBullet"/>
      </w:pPr>
      <w:r>
        <w:t>Bubeck, P., Botzen, W. J. W., &amp; Aerts, J. C. J. H. (2012). A review of risk perceptions and other factors that influence flood mitigation behavior. Risk Analysis, 32(9), 1481-1495.</w:t>
      </w:r>
    </w:p>
    <w:p>
      <w:pPr>
        <w:pStyle w:val="ListBullet"/>
      </w:pPr>
      <w:r>
        <w:t>Bubeck, P., Osberghaus, D., &amp; Thieken, A. H. (2023). Explaining changes in threat appraisal, coping appraisal, and flood risk-reducing behavior using panel data. Environment and Behavior, 55(6-7).</w:t>
      </w:r>
    </w:p>
    <w:p>
      <w:pPr>
        <w:pStyle w:val="ListBullet"/>
      </w:pPr>
      <w:r>
        <w:t>Choi, J., et al. (2024). The effect of flood exposure on insurance adoption among US households. Earth's Future, 12, e2023EF004110.</w:t>
      </w:r>
    </w:p>
    <w:p>
      <w:pPr>
        <w:pStyle w:val="ListBullet"/>
      </w:pPr>
      <w:r>
        <w:t>de Ruig, L. T., Haer, T., de Moel, H., Orton, P., Botzen, W. J. W., &amp; Aerts, J. C. J. H. (2023). An agent-based model for evaluating reforms of the NFIP: A benchmarked model applied to Jamaica Bay, NYC. Risk Analysis, 43(2), 405-422.</w:t>
      </w:r>
    </w:p>
    <w:p>
      <w:pPr>
        <w:pStyle w:val="ListBullet"/>
      </w:pPr>
      <w:r>
        <w:t>Gallagher, J. (2014). Learning about an infrequent event: Evidence from flood insurance take-up in the United States. American Economic Journal: Applied Economics, 6(3), 206-233.</w:t>
      </w:r>
    </w:p>
    <w:p>
      <w:pPr>
        <w:pStyle w:val="ListBullet"/>
      </w:pPr>
      <w:r>
        <w:t>Grothmann, T., &amp; Reusswig, F. (2006). People at risk of flooding: Why some residents take precautionary action while others do not. Natural Hazards, 38, 101-120.</w:t>
      </w:r>
    </w:p>
    <w:p>
      <w:pPr>
        <w:pStyle w:val="ListBullet"/>
      </w:pPr>
      <w:r>
        <w:t>Haer, T., Botzen, W. J. W., de Moel, H., &amp; Aerts, J. C. J. H. (2017). Integrating household risk mitigation behavior in flood risk analysis: An agent-based model approach. Risk Analysis, 37(10), 1977-1992.</w:t>
      </w:r>
    </w:p>
    <w:p>
      <w:pPr>
        <w:pStyle w:val="ListBullet"/>
      </w:pPr>
      <w:r>
        <w:t>Kousky, C., &amp; Michel-Kerjan, E. O. (2017). Examining flood insurance claims in the United States: Six key findings. Journal of Risk and Insurance, 84(3), 819-850.</w:t>
      </w:r>
    </w:p>
    <w:p>
      <w:pPr>
        <w:pStyle w:val="ListBullet"/>
      </w:pPr>
      <w:r>
        <w:t>Xian, S., Lin, N., &amp; Hatzikyriakou, A. (2017). Economically optimizing elevation of new, single-family residences for flood mitigation. Journal of Flood Risk Management, 10, 434-451.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