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sz w:val="32"/>
          <w:szCs w:val="32"/>
        </w:rPr>
        <w:t xml:space="preserve">SAGE: A Governance Middleware for LLM-Driven Agent-Based Models of Human–Water Systems</w:t>
      </w:r>
    </w:p>
    <w:p>
      <w:pPr>
        <w:spacing w:after="60" w:line="480"/>
        <w:jc w:val="center"/>
      </w:pPr>
      <w:r>
        <w:rPr>
          <w:rFonts w:ascii="Times New Roman" w:cs="Times New Roman" w:eastAsia="Times New Roman" w:hAnsi="Times New Roman"/>
          <w:sz w:val="24"/>
          <w:szCs w:val="24"/>
        </w:rPr>
        <w:t xml:space="preserve">Wen-Yu Chen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Second Author</w:t>
      </w:r>
      <w:r>
        <w:rPr>
          <w:rFonts w:ascii="Times New Roman" w:cs="Times New Roman" w:eastAsia="Times New Roman" w:hAnsi="Times New Roman"/>
          <w:sz w:val="24"/>
          <w:szCs w:val="24"/>
          <w:vertAlign w:val="superscript"/>
        </w:rPr>
        <w:t xml:space="preserve">1</w:t>
      </w:r>
    </w:p>
    <w:p>
      <w:pPr>
        <w:spacing w:after="240" w:line="480"/>
        <w:jc w:val="center"/>
      </w:pP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i/>
          <w:iCs/>
          <w:sz w:val="22"/>
          <w:szCs w:val="22"/>
        </w:rPr>
        <w:t xml:space="preserve">Department of Civil and Environmental Engineering, Lehigh University, Bethlehem, PA, USA</w:t>
      </w:r>
    </w:p>
    <w:p>
      <w:pPr>
        <w:spacing w:after="360" w:line="480"/>
        <w:jc w:val="center"/>
      </w:pPr>
      <w:r>
        <w:rPr>
          <w:rFonts w:ascii="Times New Roman" w:cs="Times New Roman" w:eastAsia="Times New Roman" w:hAnsi="Times New Roman"/>
          <w:sz w:val="22"/>
          <w:szCs w:val="22"/>
        </w:rPr>
        <w:t xml:space="preserve">Corresponding author: Wen-Yu Chen (wec225@lehigh.edu)</w:t>
      </w:r>
    </w:p>
    <w:p>
      <w:pPr>
        <w:pStyle w:val="Heading1"/>
        <w:spacing w:before="360" w:after="240" w:line="480"/>
      </w:pPr>
      <w:r>
        <w:rPr>
          <w:rFonts w:ascii="Times New Roman" w:cs="Times New Roman" w:eastAsia="Times New Roman" w:hAnsi="Times New Roman"/>
          <w:b/>
          <w:bCs/>
          <w:sz w:val="28"/>
          <w:szCs w:val="28"/>
        </w:rPr>
        <w:t xml:space="preserve">Key Points</w:t>
      </w:r>
    </w:p>
    <w:p>
      <w:pPr>
        <w:pStyle w:val="ListParagraph"/>
        <w:numPr>
          <w:ilvl w:val="0"/>
          <w:numId w:val="2"/>
        </w:numPr>
        <w:spacing w:line="480"/>
      </w:pPr>
      <w:r>
        <w:rPr>
          <w:rFonts w:ascii="Times New Roman" w:cs="Times New Roman" w:eastAsia="Times New Roman" w:hAnsi="Times New Roman"/>
          <w:sz w:val="24"/>
          <w:szCs w:val="24"/>
        </w:rPr>
        <w:t xml:space="preserve">SAGE eliminates 33% hallucination rate in ungoverned LLM agents while preserving genuine behavioral diversity</w:t>
      </w:r>
    </w:p>
    <w:p>
      <w:pPr>
        <w:pStyle w:val="ListParagraph"/>
        <w:numPr>
          <w:ilvl w:val="0"/>
          <w:numId w:val="2"/>
        </w:numPr>
        <w:spacing w:line="480"/>
      </w:pPr>
      <w:r>
        <w:rPr>
          <w:rFonts w:ascii="Times New Roman" w:cs="Times New Roman" w:eastAsia="Times New Roman" w:hAnsi="Times New Roman"/>
          <w:sz w:val="24"/>
          <w:szCs w:val="24"/>
        </w:rPr>
        <w:t xml:space="preserve">Effective Behavioral Entropy (EBE) metric separates true decision diversity from hallucination-inflated entropy</w:t>
      </w:r>
    </w:p>
    <w:p>
      <w:pPr>
        <w:pStyle w:val="ListParagraph"/>
        <w:numPr>
          <w:ilvl w:val="0"/>
          <w:numId w:val="2"/>
        </w:numPr>
        <w:spacing w:line="480" w:after="240"/>
      </w:pPr>
      <w:r>
        <w:rPr>
          <w:rFonts w:ascii="Times New Roman" w:cs="Times New Roman" w:eastAsia="Times New Roman" w:hAnsi="Times New Roman"/>
          <w:sz w:val="24"/>
          <w:szCs w:val="24"/>
        </w:rPr>
        <w:t xml:space="preserve">Governance middleware transfers across domains: flood adaptation (100 agents, 10 yr) and irrigation (78 agents, 42 yr)</w:t>
      </w:r>
    </w:p>
    <w:p>
      <w:pPr>
        <w:pStyle w:val="Heading1"/>
        <w:spacing w:before="360" w:after="240" w:line="480"/>
      </w:pPr>
      <w:r>
        <w:rPr>
          <w:rFonts w:ascii="Times New Roman" w:cs="Times New Roman" w:eastAsia="Times New Roman" w:hAnsi="Times New Roman"/>
          <w:b/>
          <w:bCs/>
          <w:sz w:val="28"/>
          <w:szCs w:val="28"/>
        </w:rPr>
        <w:t xml:space="preserve">Abstract</w:t>
      </w:r>
    </w:p>
    <w:p>
      <w:pPr>
        <w:spacing w:line="480" w:after="120"/>
        <w:jc w:val="both"/>
      </w:pPr>
      <w:r>
        <w:rPr>
          <w:rFonts w:ascii="Times New Roman" w:cs="Times New Roman" w:eastAsia="Times New Roman" w:hAnsi="Times New Roman"/>
          <w:sz w:val="24"/>
          <w:szCs w:val="24"/>
        </w:rPr>
        <w:t xml:space="preserve">Large language models (LLMs) offer a promising path toward cognitively realistic agent-based models (ABMs) for water resources planning, but unconstrained LLM agents produce physically impossible decisions—a phenomenon we term </w:t>
      </w:r>
      <w:r>
        <w:rPr>
          <w:rFonts w:ascii="Times New Roman" w:cs="Times New Roman" w:eastAsia="Times New Roman" w:hAnsi="Times New Roman"/>
          <w:i/>
          <w:iCs/>
          <w:sz w:val="24"/>
          <w:szCs w:val="24"/>
        </w:rPr>
        <w:t xml:space="preserve">behavioral hallucination</w:t>
      </w:r>
      <w:r>
        <w:rPr>
          <w:rFonts w:ascii="Times New Roman" w:cs="Times New Roman" w:eastAsia="Times New Roman" w:hAnsi="Times New Roman"/>
          <w:sz w:val="24"/>
          <w:szCs w:val="24"/>
        </w:rPr>
        <w:t xml:space="preserve">. We present SAGE (Structured Agent Governance Engine), an open-source middleware that enforces domain-specific physical and institutional constraints on LLM-driven agents while preserving emergent behavioral diversity. SAGE implements a three-pillar architecture: (1) a rule-based validator chain that rejects impossible actions, (2) a tiered cognitive memory system that encodes prior experience, and (3) a priority context builder that structures LLM prompts with domain knowledge. We introduce the Effective Behavioral Entropy (EBE) metric, defined as EBE = H</w:t>
      </w:r>
      <w:r>
        <w:rPr>
          <w:rFonts w:ascii="Times New Roman" w:cs="Times New Roman" w:eastAsia="Times New Roman" w:hAnsi="Times New Roman"/>
          <w:sz w:val="24"/>
          <w:szCs w:val="24"/>
          <w:vertAlign w:val="subscript"/>
        </w:rPr>
        <w:t xml:space="preserve">norm</w:t>
      </w:r>
      <w:r>
        <w:rPr>
          <w:rFonts w:ascii="Times New Roman" w:cs="Times New Roman" w:eastAsia="Times New Roman" w:hAnsi="Times New Roman"/>
          <w:sz w:val="24"/>
          <w:szCs w:val="24"/>
        </w:rPr>
        <w:t xml:space="preserve"> × (1 − R</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which disentangles genuine decision diversity from hallucination-inflated entropy. In a flood adaptation case study (100 agents, 10 years, 7 LLM configurations), ungoverned agents exhibit a 33% hallucination rate; SAGE-governed agents reduce this to &lt;2% while maintaining EBE 32% higher. We demonstrate domain transferability through a Colorado River irrigation case study (78 districts, 42 years). The framework, metrics, and experiment code are available at [GitHub URL].</w:t>
      </w:r>
    </w:p>
    <w:p>
      <w:pPr>
        <w:pStyle w:val="Heading1"/>
        <w:spacing w:before="360" w:after="240" w:line="480"/>
      </w:pPr>
      <w:r>
        <w:rPr>
          <w:rFonts w:ascii="Times New Roman" w:cs="Times New Roman" w:eastAsia="Times New Roman" w:hAnsi="Times New Roman"/>
          <w:b/>
          <w:bCs/>
          <w:sz w:val="28"/>
          <w:szCs w:val="28"/>
        </w:rPr>
        <w:t xml:space="preserve">Plain Language Summary</w:t>
      </w:r>
    </w:p>
    <w:p>
      <w:pPr>
        <w:spacing w:line="480" w:after="120"/>
        <w:jc w:val="both"/>
      </w:pPr>
      <w:r>
        <w:rPr>
          <w:rFonts w:ascii="Times New Roman" w:cs="Times New Roman" w:eastAsia="Times New Roman" w:hAnsi="Times New Roman"/>
          <w:sz w:val="24"/>
          <w:szCs w:val="24"/>
        </w:rPr>
        <w:t xml:space="preserve">Artificial intelligence language models can power virtual agents that make human-like decisions in water management simulations. However, without oversight, these agents make impossible choices—like buying flood insurance they already own or elevating a home that is already raised. We developed SAGE, a software layer that checks each agent’s decision against physical and institutional rules before it takes effect, while still allowing agents to make diverse, realistic choices. We show that unchecked agents make impossible decisions 33% of the time, inflating the apparent diversity of their behavior. Our governance middleware eliminates these errors while preserving genuine decision-making variety. We demonstrate the approach in two water domains: household flood adaptation and Colorado River irrigation management.</w:t>
      </w:r>
    </w:p>
    <w:p>
      <w:r>
        <w:br w:type="page"/>
      </w:r>
    </w:p>
    <w:p>
      <w:pPr>
        <w:pStyle w:val="Heading1"/>
        <w:spacing w:before="360" w:after="240" w:line="480"/>
      </w:pPr>
      <w:r>
        <w:rPr>
          <w:rFonts w:ascii="Times New Roman" w:cs="Times New Roman" w:eastAsia="Times New Roman" w:hAnsi="Times New Roman"/>
          <w:b/>
          <w:bCs/>
          <w:sz w:val="28"/>
          <w:szCs w:val="28"/>
        </w:rPr>
        <w:t xml:space="preserve">1. Introduction</w:t>
      </w:r>
    </w:p>
    <w:p>
      <w:pPr>
        <w:spacing w:line="480" w:after="120"/>
        <w:ind w:firstLine="360"/>
        <w:jc w:val="both"/>
      </w:pPr>
      <w:r>
        <w:rPr>
          <w:rFonts w:ascii="Times New Roman" w:cs="Times New Roman" w:eastAsia="Times New Roman" w:hAnsi="Times New Roman"/>
          <w:sz w:val="24"/>
          <w:szCs w:val="24"/>
        </w:rPr>
        <w:t xml:space="preserve">Agent-based models (ABMs) have become a central tool for understanding coupled human–water systems, from flood risk adaptation (Aerts et al., 2018; Di Baldassarre et al., 2013) to irrigation management under scarcity (Hung &amp; Yang, 2021). Traditional ABMs rely on utility-maximizing or rule-based agents whose behavioral diversity is limited by the modeler’s ability to enumerate decision heuristics (Filatova et al., 2013; Berglund, 2015). Large language models (LLMs) offer a fundamentally different approach: generative agents that produce heterogeneous, context-sensitive decisions from natural-language reasoning (Park et al., 2023; Gao et al., 2024). Recent work has demonstrated that LLMs can autonomously handle complex scientific tasks (Boiko et al., 2023), suggesting their potential for realistic behavioral simulation in socio-hydrological systems (Sivapalan et al., 2012).</w:t>
      </w:r>
    </w:p>
    <w:p>
      <w:pPr>
        <w:spacing w:line="480" w:after="120"/>
        <w:ind w:firstLine="360"/>
        <w:jc w:val="both"/>
      </w:pPr>
      <w:r>
        <w:rPr>
          <w:rFonts w:ascii="Times New Roman" w:cs="Times New Roman" w:eastAsia="Times New Roman" w:hAnsi="Times New Roman"/>
          <w:sz w:val="24"/>
          <w:szCs w:val="24"/>
        </w:rPr>
        <w:t xml:space="preserve">However, LLM agents produce plausible but physically impossible outputs—a well-documented limitation in natural language generation known as hallucination (Ji et al., 2023). In water resource ABMs, this manifests as agents re-elevating already-elevated homes, purchasing insurance they already own, or requesting water allocations exceeding their legal rights. These behavioral hallucinations are structurally analogous to model collapse in recursive training (Shumailov et al., 2024): without external constraints, LLM agents converge on patterns that appear diverse but violate domain physics. Existing LLM-ABM frameworks lack mechanisms for enforcing physical and institutional constraints on agent decisions, leaving hallucination rates unquantified and uncontrolled.</w:t>
      </w:r>
    </w:p>
    <w:p>
      <w:pPr>
        <w:spacing w:line="480" w:after="120"/>
        <w:ind w:firstLine="360"/>
        <w:jc w:val="both"/>
      </w:pPr>
      <w:r>
        <w:rPr>
          <w:rFonts w:ascii="Times New Roman" w:cs="Times New Roman" w:eastAsia="Times New Roman" w:hAnsi="Times New Roman"/>
          <w:sz w:val="24"/>
          <w:szCs w:val="24"/>
        </w:rPr>
        <w:t xml:space="preserve">We address this gap with three contributions. First, we present SAGE (Structured Agent Governance Engine), an open-source middleware that enforces domain-specific constraints on LLM-driven agents through a three-pillar architecture: a rule-based validator chain, a tiered cognitive memory system, and a priority context builder. Second, we introduce the Effective Behavioral Entropy (EBE) metric that disentangles genuine decision diversity from hallucination-inflated entropy. Third, we demonstrate SAGE’s domain transferability through two case studies—household flood adaptation (100 agents, 10 years) and Colorado River irrigation management (78 districts, 42 years)—showing that governance eliminates behavioral hallucination while preserving emergent diversity.</w:t>
      </w:r>
    </w:p>
    <w:p>
      <w:pPr>
        <w:pStyle w:val="Heading1"/>
        <w:spacing w:before="360" w:after="240" w:line="480"/>
      </w:pPr>
      <w:r>
        <w:rPr>
          <w:rFonts w:ascii="Times New Roman" w:cs="Times New Roman" w:eastAsia="Times New Roman" w:hAnsi="Times New Roman"/>
          <w:b/>
          <w:bCs/>
          <w:sz w:val="28"/>
          <w:szCs w:val="28"/>
        </w:rPr>
        <w:t xml:space="preserve">2. SAGE Architecture</w:t>
      </w:r>
    </w:p>
    <w:p>
      <w:pPr>
        <w:pStyle w:val="Heading2"/>
        <w:spacing w:before="240" w:after="120" w:line="480"/>
      </w:pPr>
      <w:r>
        <w:rPr>
          <w:rFonts w:ascii="Times New Roman" w:cs="Times New Roman" w:eastAsia="Times New Roman" w:hAnsi="Times New Roman"/>
          <w:b/>
          <w:bCs/>
          <w:sz w:val="26"/>
          <w:szCs w:val="26"/>
        </w:rPr>
        <w:t xml:space="preserve">2.1 Three-Pillar Design</w:t>
      </w:r>
    </w:p>
    <w:p>
      <w:pPr>
        <w:spacing w:line="480" w:after="120"/>
        <w:ind w:firstLine="360"/>
        <w:jc w:val="both"/>
      </w:pPr>
      <w:r>
        <w:rPr>
          <w:rFonts w:ascii="Times New Roman" w:cs="Times New Roman" w:eastAsia="Times New Roman" w:hAnsi="Times New Roman"/>
          <w:sz w:val="24"/>
          <w:szCs w:val="24"/>
        </w:rPr>
        <w:t xml:space="preserve">SAGE operates as a middleware layer between LLM agents and the simulation engine, following a strict separation of concerns: the LLM makes decisions, SAGE validates them, and the simulation engine executes approved actions (Figure 1). This design ensures that the governance layer never generates decisions or mutates simulation state directly.</w:t>
      </w:r>
    </w:p>
    <w:p>
      <w:pPr>
        <w:spacing w:line="480" w:after="120"/>
        <w:ind w:firstLine="360"/>
        <w:jc w:val="both"/>
      </w:pPr>
      <w:r>
        <w:rPr>
          <w:rFonts w:ascii="Times New Roman" w:cs="Times New Roman" w:eastAsia="Times New Roman" w:hAnsi="Times New Roman"/>
          <w:sz w:val="24"/>
          <w:szCs w:val="24"/>
        </w:rPr>
        <w:t xml:space="preserve">The first pillar, </w:t>
      </w:r>
      <w:r>
        <w:rPr>
          <w:rFonts w:ascii="Times New Roman" w:cs="Times New Roman" w:eastAsia="Times New Roman" w:hAnsi="Times New Roman"/>
          <w:b/>
          <w:bCs/>
          <w:sz w:val="24"/>
          <w:szCs w:val="24"/>
        </w:rPr>
        <w:t xml:space="preserve">governance</w:t>
      </w:r>
      <w:r>
        <w:rPr>
          <w:rFonts w:ascii="Times New Roman" w:cs="Times New Roman" w:eastAsia="Times New Roman" w:hAnsi="Times New Roman"/>
          <w:sz w:val="24"/>
          <w:szCs w:val="24"/>
        </w:rPr>
        <w:t xml:space="preserve">, implements a rule-based validator chain defined in YAML configuration files. Each rule specifies a condition (e.g., agent has already adopted efficient irrigation) and a consequence (block the action, with an explanatory message). Rules are evaluated in priority order: identity rules (physical impossibilities) take precedence over thinking rules (behavioral coherence checks), which take precedence over warnings. When a proposed action is rejected, SAGE re-prompts the LLM with the rejection reason, allowing the agent to revise its decision (up to three retries). This approach draws on constitutional AI principles (Bai et al., 2022), applying rule-based constraints rather than learned reward signals.</w:t>
      </w:r>
    </w:p>
    <w:p>
      <w:pPr>
        <w:spacing w:line="480" w:after="120"/>
        <w:ind w:firstLine="360"/>
        <w:jc w:val="both"/>
      </w:pPr>
      <w:r>
        <w:rPr>
          <w:rFonts w:ascii="Times New Roman" w:cs="Times New Roman" w:eastAsia="Times New Roman" w:hAnsi="Times New Roman"/>
          <w:sz w:val="24"/>
          <w:szCs w:val="24"/>
        </w:rPr>
        <w:t xml:space="preserve">The second pillar, </w:t>
      </w:r>
      <w:r>
        <w:rPr>
          <w:rFonts w:ascii="Times New Roman" w:cs="Times New Roman" w:eastAsia="Times New Roman" w:hAnsi="Times New Roman"/>
          <w:b/>
          <w:bCs/>
          <w:sz w:val="24"/>
          <w:szCs w:val="24"/>
        </w:rPr>
        <w:t xml:space="preserve">cognitive memory</w:t>
      </w:r>
      <w:r>
        <w:rPr>
          <w:rFonts w:ascii="Times New Roman" w:cs="Times New Roman" w:eastAsia="Times New Roman" w:hAnsi="Times New Roman"/>
          <w:sz w:val="24"/>
          <w:szCs w:val="24"/>
        </w:rPr>
        <w:t xml:space="preserve">, provides agents with structured access to their decision history. SAGE supports multiple memory engines: a sliding-window engine that maintains recent events (Group B baseline), and a human-centric engine that encodes episodic memories with emotional arousal weights and applies stochastic consolidation and decay (Group C). Memory content is injected into the LLM prompt as contextual background, enabling agents to learn from experience without requiring fine-tuning.</w:t>
      </w:r>
    </w:p>
    <w:p>
      <w:pPr>
        <w:spacing w:line="480" w:after="120"/>
        <w:ind w:firstLine="360"/>
        <w:jc w:val="both"/>
      </w:pPr>
      <w:r>
        <w:rPr>
          <w:rFonts w:ascii="Times New Roman" w:cs="Times New Roman" w:eastAsia="Times New Roman" w:hAnsi="Times New Roman"/>
          <w:sz w:val="24"/>
          <w:szCs w:val="24"/>
        </w:rPr>
        <w:t xml:space="preserve">The third pillar, </w:t>
      </w:r>
      <w:r>
        <w:rPr>
          <w:rFonts w:ascii="Times New Roman" w:cs="Times New Roman" w:eastAsia="Times New Roman" w:hAnsi="Times New Roman"/>
          <w:b/>
          <w:bCs/>
          <w:sz w:val="24"/>
          <w:szCs w:val="24"/>
        </w:rPr>
        <w:t xml:space="preserve">priority context</w:t>
      </w:r>
      <w:r>
        <w:rPr>
          <w:rFonts w:ascii="Times New Roman" w:cs="Times New Roman" w:eastAsia="Times New Roman" w:hAnsi="Times New Roman"/>
          <w:sz w:val="24"/>
          <w:szCs w:val="24"/>
        </w:rPr>
        <w:t xml:space="preserve">, structures the information provided to LLMs using a tiered builder. Tier 1 (must-include) contains the agent’s current state, environmental conditions, and available actions. Tier 2 (should-include) adds memory summaries and social observations. Tier 3 (nice-to-have) provides historical trends and institutional background. This tiering ensures that critical decision context is never truncated by token limits, following principles from instruction-tuned prompt design (Ouyang et al., 2022; Wei et al., 2022).</w:t>
      </w:r>
    </w:p>
    <w:p>
      <w:pPr>
        <w:pStyle w:val="Heading2"/>
        <w:spacing w:before="240" w:after="120" w:line="480"/>
      </w:pPr>
      <w:r>
        <w:rPr>
          <w:rFonts w:ascii="Times New Roman" w:cs="Times New Roman" w:eastAsia="Times New Roman" w:hAnsi="Times New Roman"/>
          <w:b/>
          <w:bCs/>
          <w:sz w:val="26"/>
          <w:szCs w:val="26"/>
        </w:rPr>
        <w:t xml:space="preserve">2.2 Skill Registry and Validator Chain</w:t>
      </w:r>
    </w:p>
    <w:p>
      <w:pPr>
        <w:spacing w:line="480" w:after="120"/>
        <w:ind w:firstLine="360"/>
        <w:jc w:val="both"/>
      </w:pPr>
      <w:r>
        <w:rPr>
          <w:rFonts w:ascii="Times New Roman" w:cs="Times New Roman" w:eastAsia="Times New Roman" w:hAnsi="Times New Roman"/>
          <w:sz w:val="24"/>
          <w:szCs w:val="24"/>
        </w:rPr>
        <w:t xml:space="preserve">SAGE defines agent capabilities as named “skills” with pre- and post-conditions. The SkillBrokerEngine processes each decision through a six-phase pipeline: (1) context assembly, (2) LLM inference via Ollama (Ollama, 2024), (3) response parsing with a four-layer fallback (JSON, enclosure delimiters, regex, digit extraction), (4) validation against the rule chain, (5) execution of approved skills, and (6) audit logging (Figure 2). Every decision is logged with its validation status, enabling post-hoc hallucination analysis.</w:t>
      </w:r>
    </w:p>
    <w:p>
      <w:pPr>
        <w:pStyle w:val="Heading2"/>
        <w:spacing w:before="240" w:after="120" w:line="480"/>
      </w:pPr>
      <w:r>
        <w:rPr>
          <w:rFonts w:ascii="Times New Roman" w:cs="Times New Roman" w:eastAsia="Times New Roman" w:hAnsi="Times New Roman"/>
          <w:b/>
          <w:bCs/>
          <w:sz w:val="26"/>
          <w:szCs w:val="26"/>
        </w:rPr>
        <w:t xml:space="preserve">2.3 Domain Instantiation</w:t>
      </w:r>
    </w:p>
    <w:p>
      <w:pPr>
        <w:spacing w:line="480" w:after="120"/>
        <w:ind w:firstLine="360"/>
        <w:jc w:val="both"/>
      </w:pPr>
      <w:r>
        <w:rPr>
          <w:rFonts w:ascii="Times New Roman" w:cs="Times New Roman" w:eastAsia="Times New Roman" w:hAnsi="Times New Roman"/>
          <w:sz w:val="24"/>
          <w:szCs w:val="24"/>
        </w:rPr>
        <w:t xml:space="preserve">SAGE is domain-agnostic: the same engine serves both flood adaptation and irrigation management (Table 1). Domain specificity is achieved entirely through configuration—skill definitions, validator rules, and prompt templates—without modifying core code. For flood adaptation, skills include home elevation, insurance purchase, and relocation, with Protection Motivation Theory (Rogers, 1975, 1983) providing the appraisal framework. For irrigation, skills include demand adjustment, efficiency adoption, and acreage reduction, with a dual-appraisal framework (Water Scarcity Assessment / Adaptive Capacity Assessment) adapted from Hung and Yang (2021).</w:t>
      </w:r>
    </w:p>
    <w:p>
      <w:pPr>
        <w:spacing w:before="240" w:after="60" w:line="480"/>
        <w:jc w:val="center"/>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SAGE instantiation for two water resource domains.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000000" w:sz="1"/>
              <w:left w:val="single" w:color="000000" w:sz="1"/>
              <w:bottom w:val="single" w:color="000000" w:sz="1"/>
              <w:right w:val="single" w:color="000000" w:sz="1"/>
            </w:tcBorders>
            <w:shd w:fill="D9E2F3" w:val="clear"/>
            <w:vAlign w:val="center"/>
          </w:tcPr>
          <w:p>
            <w:pPr>
              <w:spacing w:line="276"/>
            </w:pPr>
            <w:r>
              <w:rPr>
                <w:rFonts w:ascii="Times New Roman" w:cs="Times New Roman" w:eastAsia="Times New Roman" w:hAnsi="Times New Roman"/>
                <w:b/>
                <w:bCs/>
                <w:sz w:val="20"/>
                <w:szCs w:val="20"/>
              </w:rPr>
              <w:t xml:space="preserve">Component</w:t>
            </w:r>
          </w:p>
        </w:tc>
        <w:tc>
          <w:tcPr>
            <w:tcW w:type="dxa" w:w="3580"/>
            <w:tcBorders>
              <w:top w:val="single" w:color="000000" w:sz="1"/>
              <w:left w:val="single" w:color="000000" w:sz="1"/>
              <w:bottom w:val="single" w:color="000000" w:sz="1"/>
              <w:right w:val="single" w:color="000000" w:sz="1"/>
            </w:tcBorders>
            <w:shd w:fill="D9E2F3" w:val="clear"/>
            <w:vAlign w:val="center"/>
          </w:tcPr>
          <w:p>
            <w:pPr>
              <w:spacing w:line="276"/>
            </w:pPr>
            <w:r>
              <w:rPr>
                <w:rFonts w:ascii="Times New Roman" w:cs="Times New Roman" w:eastAsia="Times New Roman" w:hAnsi="Times New Roman"/>
                <w:b/>
                <w:bCs/>
                <w:sz w:val="20"/>
                <w:szCs w:val="20"/>
              </w:rPr>
              <w:t xml:space="preserve">Flood Adaptation</w:t>
            </w:r>
          </w:p>
        </w:tc>
        <w:tc>
          <w:tcPr>
            <w:tcW w:type="dxa" w:w="3580"/>
            <w:tcBorders>
              <w:top w:val="single" w:color="000000" w:sz="1"/>
              <w:left w:val="single" w:color="000000" w:sz="1"/>
              <w:bottom w:val="single" w:color="000000" w:sz="1"/>
              <w:right w:val="single" w:color="000000" w:sz="1"/>
            </w:tcBorders>
            <w:shd w:fill="D9E2F3" w:val="clear"/>
            <w:vAlign w:val="center"/>
          </w:tcPr>
          <w:p>
            <w:pPr>
              <w:spacing w:line="276"/>
            </w:pPr>
            <w:r>
              <w:rPr>
                <w:rFonts w:ascii="Times New Roman" w:cs="Times New Roman" w:eastAsia="Times New Roman" w:hAnsi="Times New Roman"/>
                <w:b/>
                <w:bCs/>
                <w:sz w:val="20"/>
                <w:szCs w:val="20"/>
              </w:rPr>
              <w:t xml:space="preserve">Irrigation Management</w:t>
            </w:r>
          </w:p>
        </w:tc>
      </w:tr>
      <w:tr>
        <w:tc>
          <w:tcPr>
            <w:tcW w:type="dxa" w:w="220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Skills</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elevate, insure, relocate, both, do_nothing</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increase, decrease, efficiency, acreage, maintain</w:t>
            </w:r>
          </w:p>
        </w:tc>
      </w:tr>
      <w:tr>
        <w:tc>
          <w:tcPr>
            <w:tcW w:type="dxa" w:w="220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Physical validators</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already_elevated, already_insured</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water_right_cap, already_efficient</w:t>
            </w:r>
          </w:p>
        </w:tc>
      </w:tr>
      <w:tr>
        <w:tc>
          <w:tcPr>
            <w:tcW w:type="dxa" w:w="220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Institutional validators</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compact_allocation, drought_severity</w:t>
            </w:r>
          </w:p>
        </w:tc>
      </w:tr>
      <w:tr>
        <w:tc>
          <w:tcPr>
            <w:tcW w:type="dxa" w:w="220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Memory engine</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Flood trauma recall</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Regret feedback</w:t>
            </w:r>
          </w:p>
        </w:tc>
      </w:tr>
      <w:tr>
        <w:tc>
          <w:tcPr>
            <w:tcW w:type="dxa" w:w="220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Appraisal framework</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PMT (threat/coping)</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Dual appraisal (WSA/ACA)</w:t>
            </w:r>
          </w:p>
        </w:tc>
      </w:tr>
      <w:tr>
        <w:tc>
          <w:tcPr>
            <w:tcW w:type="dxa" w:w="220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Agents</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100 households × 10 yr</w:t>
            </w:r>
          </w:p>
        </w:tc>
        <w:tc>
          <w:tcPr>
            <w:tcW w:type="dxa" w:w="3580"/>
            <w:tcBorders>
              <w:top w:val="single" w:color="000000" w:sz="1"/>
              <w:left w:val="single" w:color="000000" w:sz="1"/>
              <w:bottom w:val="single" w:color="000000" w:sz="1"/>
              <w:right w:val="single" w:color="000000" w:sz="1"/>
            </w:tcBorders>
            <w:vAlign w:val="center"/>
          </w:tcPr>
          <w:p>
            <w:pPr>
              <w:spacing w:line="276"/>
            </w:pPr>
            <w:r>
              <w:rPr>
                <w:rFonts w:ascii="Times New Roman" w:cs="Times New Roman" w:eastAsia="Times New Roman" w:hAnsi="Times New Roman"/>
                <w:b w:val="false"/>
                <w:bCs w:val="false"/>
                <w:sz w:val="20"/>
                <w:szCs w:val="20"/>
              </w:rPr>
              <w:t xml:space="preserve">78 districts × 42 yr</w:t>
            </w:r>
          </w:p>
        </w:tc>
      </w:tr>
    </w:tbl>
    <w:p>
      <w:pPr>
        <w:spacing w:after="240"/>
      </w:pPr>
    </w:p>
    <w:p>
      <w:pPr>
        <w:pStyle w:val="Heading1"/>
        <w:spacing w:before="360" w:after="240" w:line="480"/>
      </w:pPr>
      <w:r>
        <w:rPr>
          <w:rFonts w:ascii="Times New Roman" w:cs="Times New Roman" w:eastAsia="Times New Roman" w:hAnsi="Times New Roman"/>
          <w:b/>
          <w:bCs/>
          <w:sz w:val="28"/>
          <w:szCs w:val="28"/>
        </w:rPr>
        <w:t xml:space="preserve">3. Metrics</w:t>
      </w:r>
    </w:p>
    <w:p>
      <w:pPr>
        <w:spacing w:line="480" w:after="120"/>
        <w:jc w:val="both"/>
      </w:pPr>
      <w:r>
        <w:rPr>
          <w:rFonts w:ascii="Times New Roman" w:cs="Times New Roman" w:eastAsia="Times New Roman" w:hAnsi="Times New Roman"/>
          <w:sz w:val="24"/>
          <w:szCs w:val="24"/>
        </w:rPr>
        <w:t xml:space="preserve">We define </w:t>
      </w:r>
      <w:r>
        <w:rPr>
          <w:rFonts w:ascii="Times New Roman" w:cs="Times New Roman" w:eastAsia="Times New Roman" w:hAnsi="Times New Roman"/>
          <w:i/>
          <w:iCs/>
          <w:sz w:val="24"/>
          <w:szCs w:val="24"/>
        </w:rPr>
        <w:t xml:space="preserve">behavioral hallucination</w:t>
      </w:r>
      <w:r>
        <w:rPr>
          <w:rFonts w:ascii="Times New Roman" w:cs="Times New Roman" w:eastAsia="Times New Roman" w:hAnsi="Times New Roman"/>
          <w:sz w:val="24"/>
          <w:szCs w:val="24"/>
        </w:rPr>
        <w:t xml:space="preserve"> as an action a</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proposed by an LLM agent that violates physical or institutional constraints given the agent’s state s</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at the previous timestep. Formally, let Α(s</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denote the set of feasible actions given state s</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An action is a behavioral hallucination if a</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Α(s</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This differs from textual hallucination (Ji et al., 2023) in that the output may be linguistically coherent but physically impossible. The hallucination rate is:</w:t>
      </w:r>
    </w:p>
    <w:p>
      <w:pPr>
        <w:spacing w:line="480" w:before="120" w:after="120"/>
        <w:jc w:val="center"/>
      </w:pP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hall</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(1)</w:t>
      </w:r>
    </w:p>
    <w:p>
      <w:pPr>
        <w:spacing w:line="480" w:after="120"/>
        <w:jc w:val="both"/>
      </w:pPr>
      <w:r>
        <w:rPr>
          <w:rFonts w:ascii="Times New Roman" w:cs="Times New Roman" w:eastAsia="Times New Roman" w:hAnsi="Times New Roman"/>
          <w:sz w:val="24"/>
          <w:szCs w:val="24"/>
        </w:rPr>
        <w:t xml:space="preserve">The Effective Behavioral Entropy (EBE) combines normalized Shannon entropy (Shannon, 1948) with the hallucination penalty:</w:t>
      </w:r>
    </w:p>
    <w:p>
      <w:pPr>
        <w:spacing w:line="480" w:before="120" w:after="120"/>
        <w:jc w:val="center"/>
      </w:pPr>
      <w:r>
        <w:rPr>
          <w:rFonts w:ascii="Times New Roman" w:cs="Times New Roman" w:eastAsia="Times New Roman" w:hAnsi="Times New Roman"/>
          <w:sz w:val="24"/>
          <w:szCs w:val="24"/>
        </w:rPr>
        <w:t xml:space="preserve">EBE = H</w:t>
      </w:r>
      <w:r>
        <w:rPr>
          <w:rFonts w:ascii="Times New Roman" w:cs="Times New Roman" w:eastAsia="Times New Roman" w:hAnsi="Times New Roman"/>
          <w:sz w:val="24"/>
          <w:szCs w:val="24"/>
          <w:vertAlign w:val="subscript"/>
        </w:rPr>
        <w:t xml:space="preserve">norm</w:t>
      </w:r>
      <w:r>
        <w:rPr>
          <w:rFonts w:ascii="Times New Roman" w:cs="Times New Roman" w:eastAsia="Times New Roman" w:hAnsi="Times New Roman"/>
          <w:sz w:val="24"/>
          <w:szCs w:val="24"/>
        </w:rPr>
        <w:t xml:space="preserve"> × (1 − R</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 = [H / log</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(k)] × [1 − n</w:t>
      </w:r>
      <w:r>
        <w:rPr>
          <w:rFonts w:ascii="Times New Roman" w:cs="Times New Roman" w:eastAsia="Times New Roman" w:hAnsi="Times New Roman"/>
          <w:sz w:val="24"/>
          <w:szCs w:val="24"/>
          <w:vertAlign w:val="subscript"/>
        </w:rPr>
        <w:t xml:space="preserve">hall</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(2)</w:t>
      </w:r>
    </w:p>
    <w:p>
      <w:pPr>
        <w:spacing w:line="480" w:after="120"/>
        <w:jc w:val="both"/>
      </w:pPr>
      <w:r>
        <w:rPr>
          <w:rFonts w:ascii="Times New Roman" w:cs="Times New Roman" w:eastAsia="Times New Roman" w:hAnsi="Times New Roman"/>
          <w:sz w:val="24"/>
          <w:szCs w:val="24"/>
        </w:rPr>
        <w:t xml:space="preserve">where k is the number of available actions and H = −Σ p</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log</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p</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is the Shannon entropy of the observed action distribution. EBE ranges from 0 (no diversity or entirely hallucinated) to 1 (maximum diversity with zero hallucination). When computing corrected entropy, hallucinated actions are replaced with the agent’s default action (DoNothing for flood, maintain_demand for irrigation). We report both raw and corrected entropy alongside EBE to enable comparison (Jost, 2006).</w:t>
      </w:r>
    </w:p>
    <w:p>
      <w:r>
        <w:br w:type="page"/>
      </w:r>
    </w:p>
    <w:p>
      <w:pPr>
        <w:pStyle w:val="Heading1"/>
        <w:spacing w:before="360" w:after="240" w:line="480"/>
      </w:pPr>
      <w:r>
        <w:rPr>
          <w:rFonts w:ascii="Times New Roman" w:cs="Times New Roman" w:eastAsia="Times New Roman" w:hAnsi="Times New Roman"/>
          <w:b/>
          <w:bCs/>
          <w:sz w:val="28"/>
          <w:szCs w:val="28"/>
        </w:rPr>
        <w:t xml:space="preserve">4. Case Study 1: Flood Adaptation</w:t>
      </w:r>
    </w:p>
    <w:p>
      <w:pPr>
        <w:pStyle w:val="Heading2"/>
        <w:spacing w:before="240" w:after="120" w:line="480"/>
      </w:pPr>
      <w:r>
        <w:rPr>
          <w:rFonts w:ascii="Times New Roman" w:cs="Times New Roman" w:eastAsia="Times New Roman" w:hAnsi="Times New Roman"/>
          <w:b/>
          <w:bCs/>
          <w:sz w:val="26"/>
          <w:szCs w:val="26"/>
        </w:rPr>
        <w:t xml:space="preserve">4.1 Experimental Design</w:t>
      </w:r>
    </w:p>
    <w:p>
      <w:pPr>
        <w:spacing w:line="480" w:after="120"/>
        <w:ind w:firstLine="360"/>
        <w:jc w:val="both"/>
      </w:pPr>
      <w:r>
        <w:rPr>
          <w:rFonts w:ascii="Times New Roman" w:cs="Times New Roman" w:eastAsia="Times New Roman" w:hAnsi="Times New Roman"/>
          <w:sz w:val="24"/>
          <w:szCs w:val="24"/>
        </w:rPr>
        <w:t xml:space="preserve">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pPr>
        <w:spacing w:line="480" w:after="120"/>
        <w:ind w:firstLine="360"/>
        <w:jc w:val="both"/>
      </w:pPr>
      <w:r>
        <w:rPr>
          <w:rFonts w:ascii="Times New Roman" w:cs="Times New Roman" w:eastAsia="Times New Roman" w:hAnsi="Times New Roman"/>
          <w:sz w:val="24"/>
          <w:szCs w:val="24"/>
        </w:rPr>
        <w:t xml:space="preserve">We compare three governance configurations using Gemma 3 4B (Gemma Team, 2024) as the primary LLM: Group A (ungoverned—raw LLM output executed directly), Group B (SAGE governance with sliding-window memory), and Group C (SAGE governance with human-centric memory and priority context schema). All groups use identical initial agent profiles, flood sequences, and random seeds to isolate the effect of governance.</w:t>
      </w:r>
    </w:p>
    <w:p>
      <w:pPr>
        <w:pStyle w:val="Heading2"/>
        <w:spacing w:before="240" w:after="120" w:line="480"/>
      </w:pPr>
      <w:r>
        <w:rPr>
          <w:rFonts w:ascii="Times New Roman" w:cs="Times New Roman" w:eastAsia="Times New Roman" w:hAnsi="Times New Roman"/>
          <w:b/>
          <w:bCs/>
          <w:sz w:val="26"/>
          <w:szCs w:val="26"/>
        </w:rPr>
        <w:t xml:space="preserve">4.2 Hallucination Detection and Correction</w:t>
      </w:r>
    </w:p>
    <w:p>
      <w:pPr>
        <w:spacing w:line="480" w:after="120"/>
        <w:ind w:firstLine="360"/>
        <w:jc w:val="both"/>
      </w:pPr>
      <w:r>
        <w:rPr>
          <w:rFonts w:ascii="Times New Roman" w:cs="Times New Roman" w:eastAsia="Times New Roman" w:hAnsi="Times New Roman"/>
          <w:sz w:val="24"/>
          <w:szCs w:val="24"/>
        </w:rPr>
        <w:t xml:space="preserve">We identify behavioral hallucinations by comparing each agent’s proposed action against its state at the previous timestep. An agent that proposes to elevate an already-elevated home, insure an already-insured property, or perform “both” when one component is already completed is flagged as hallucinating (Equation 1). Year 1 is excluded because no prior state exists.</w:t>
      </w:r>
    </w:p>
    <w:p>
      <w:pPr>
        <w:spacing w:line="480" w:after="120"/>
        <w:ind w:firstLine="360"/>
        <w:jc w:val="both"/>
      </w:pPr>
      <w:r>
        <w:rPr>
          <w:rFonts w:ascii="Times New Roman" w:cs="Times New Roman" w:eastAsia="Times New Roman" w:hAnsi="Times New Roman"/>
          <w:sz w:val="24"/>
          <w:szCs w:val="24"/>
        </w:rPr>
        <w:t xml:space="preserve">Group A exhibits a mean hallucination rate of 33.3% across years 2–10, with rates increasing over time as more agents accumulate protective measures (from 22% in year 2 to 40% in year 10). Group B reduces hallucination to 6.1% through governance intervention, while Group C achieves 1.9% by combining governance with human-centric memory that reinforces prior decisions.</w:t>
      </w:r>
    </w:p>
    <w:p>
      <w:pPr>
        <w:pStyle w:val="Heading2"/>
        <w:spacing w:before="240" w:after="120" w:line="480"/>
      </w:pPr>
      <w:r>
        <w:rPr>
          <w:rFonts w:ascii="Times New Roman" w:cs="Times New Roman" w:eastAsia="Times New Roman" w:hAnsi="Times New Roman"/>
          <w:b/>
          <w:bCs/>
          <w:sz w:val="26"/>
          <w:szCs w:val="26"/>
        </w:rPr>
        <w:t xml:space="preserve">4.3 Results</w:t>
      </w:r>
    </w:p>
    <w:p>
      <w:pPr>
        <w:spacing w:line="480" w:after="120"/>
        <w:ind w:firstLine="360"/>
        <w:jc w:val="both"/>
      </w:pPr>
      <w:r>
        <w:rPr>
          <w:rFonts w:ascii="Times New Roman" w:cs="Times New Roman" w:eastAsia="Times New Roman" w:hAnsi="Times New Roman"/>
          <w:sz w:val="24"/>
          <w:szCs w:val="24"/>
        </w:rPr>
        <w:t xml:space="preserve">Figure 3 presents the key results. Ungoverned agents (Group A) show high raw entropy (mean H</w:t>
      </w:r>
      <w:r>
        <w:rPr>
          <w:rFonts w:ascii="Times New Roman" w:cs="Times New Roman" w:eastAsia="Times New Roman" w:hAnsi="Times New Roman"/>
          <w:sz w:val="24"/>
          <w:szCs w:val="24"/>
          <w:vertAlign w:val="subscript"/>
        </w:rPr>
        <w:t xml:space="preserve">norm</w:t>
      </w:r>
      <w:r>
        <w:rPr>
          <w:rFonts w:ascii="Times New Roman" w:cs="Times New Roman" w:eastAsia="Times New Roman" w:hAnsi="Times New Roman"/>
          <w:sz w:val="24"/>
          <w:szCs w:val="24"/>
        </w:rPr>
        <w:t xml:space="preserve"> = 0.61) that appears to indicate rich behavioral diversity, but EBE reveals this is largely hallucination-inflated: mean EBE = 0.41 (Equation 2). Governed agents maintain higher effective diversity—Group B: EBE = 0.56, Group C: EBE = 0.56—despite lower raw entropy, because their decisions are physically valid.</w:t>
      </w:r>
    </w:p>
    <w:p>
      <w:pPr>
        <w:spacing w:line="480" w:after="120"/>
        <w:ind w:firstLine="360"/>
        <w:jc w:val="both"/>
      </w:pPr>
      <w:r>
        <w:rPr>
          <w:rFonts w:ascii="Times New Roman" w:cs="Times New Roman" w:eastAsia="Times New Roman" w:hAnsi="Times New Roman"/>
          <w:sz w:val="24"/>
          <w:szCs w:val="24"/>
        </w:rPr>
        <w:t xml:space="preserve">The most striking behavioral difference is relocation. Group A produces zero cumulative relocations—agents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w:t>
      </w:r>
    </w:p>
    <w:p>
      <w:pPr>
        <w:spacing w:before="240" w:after="60" w:line="480"/>
        <w:jc w:val="center"/>
      </w:pPr>
      <w:r>
        <w:rPr>
          <w:rFonts w:ascii="Times New Roman" w:cs="Times New Roman" w:eastAsia="Times New Roman" w:hAnsi="Times New Roman"/>
          <w:i/>
          <w:iCs/>
          <w:color w:val="CC0000"/>
          <w:sz w:val="24"/>
          <w:szCs w:val="24"/>
        </w:rPr>
        <w:t xml:space="preserve">[FIGURE 3: Flood Results — (a) Raw vs corrected entropy with EBE, (b) Cumulative relocation curves]</w:t>
      </w:r>
    </w:p>
    <w:p>
      <w:pPr>
        <w:pStyle w:val="Heading1"/>
        <w:spacing w:before="360" w:after="240" w:line="480"/>
      </w:pPr>
      <w:r>
        <w:rPr>
          <w:rFonts w:ascii="Times New Roman" w:cs="Times New Roman" w:eastAsia="Times New Roman" w:hAnsi="Times New Roman"/>
          <w:b/>
          <w:bCs/>
          <w:sz w:val="28"/>
          <w:szCs w:val="28"/>
        </w:rPr>
        <w:t xml:space="preserve">5. Case Study 2: Colorado River Irrigation</w:t>
      </w:r>
    </w:p>
    <w:p>
      <w:pPr>
        <w:pStyle w:val="Heading2"/>
        <w:spacing w:before="240" w:after="120" w:line="480"/>
      </w:pPr>
      <w:r>
        <w:rPr>
          <w:rFonts w:ascii="Times New Roman" w:cs="Times New Roman" w:eastAsia="Times New Roman" w:hAnsi="Times New Roman"/>
          <w:b/>
          <w:bCs/>
          <w:sz w:val="26"/>
          <w:szCs w:val="26"/>
        </w:rPr>
        <w:t xml:space="preserve">5.1 Setup</w:t>
      </w:r>
    </w:p>
    <w:p>
      <w:pPr>
        <w:spacing w:line="480" w:after="120"/>
        <w:ind w:firstLine="360"/>
        <w:jc w:val="both"/>
      </w:pPr>
      <w:r>
        <w:rPr>
          <w:rFonts w:ascii="Times New Roman" w:cs="Times New Roman" w:eastAsia="Times New Roman" w:hAnsi="Times New Roman"/>
          <w:sz w:val="24"/>
          <w:szCs w:val="24"/>
        </w:rPr>
        <w:t xml:space="preserve">We demonstrate SAGE’s domain transferability by applying it to irrigation demand management in the Colorado River Basin, following Hung and Yang (2021). We simulate 78 irrigation districts over 42 years (2019–2060) using real CRSS precipitation projections (USBR, 2012). Districts are classified into three behavioral clusters from the original FQL calibration: Aggressive, Forward-looking Conservative, and Myopic Conservative (Yang et al., 2009; Hadjimichael et al., 2020).</w:t>
      </w:r>
    </w:p>
    <w:p>
      <w:pPr>
        <w:spacing w:line="480" w:after="120"/>
        <w:ind w:firstLine="360"/>
        <w:jc w:val="both"/>
      </w:pPr>
      <w:r>
        <w:rPr>
          <w:rFonts w:ascii="Times New Roman" w:cs="Times New Roman" w:eastAsia="Times New Roman" w:hAnsi="Times New Roman"/>
          <w:sz w:val="24"/>
          <w:szCs w:val="24"/>
        </w:rPr>
        <w:t xml:space="preserve">The irrigation domain uses a dual-appraisal framework: Water Scarcity Assessment (WSA) evaluates perceived water supply threat, and Adaptive Capacity Assessment (ACA) evaluates the agent’s ability to adapt. Governance rules enforce physical constraints—agents cannot request water beyond their legal right or adopt efficiency technology they already own—and institutional constraints derived from the Colorado Compact.</w:t>
      </w:r>
    </w:p>
    <w:p>
      <w:pPr>
        <w:pStyle w:val="Heading2"/>
        <w:spacing w:before="240" w:after="120" w:line="480"/>
      </w:pPr>
      <w:r>
        <w:rPr>
          <w:rFonts w:ascii="Times New Roman" w:cs="Times New Roman" w:eastAsia="Times New Roman" w:hAnsi="Times New Roman"/>
          <w:b/>
          <w:bCs/>
          <w:sz w:val="26"/>
          <w:szCs w:val="26"/>
        </w:rPr>
        <w:t xml:space="preserve">5.2 Results</w:t>
      </w:r>
    </w:p>
    <w:p>
      <w:pPr>
        <w:spacing w:line="480" w:after="120"/>
        <w:ind w:firstLine="360"/>
        <w:jc w:val="both"/>
      </w:pPr>
      <w:r>
        <w:rPr>
          <w:rFonts w:ascii="Times New Roman" w:cs="Times New Roman" w:eastAsia="Times New Roman" w:hAnsi="Times New Roman"/>
          <w:sz w:val="24"/>
          <w:szCs w:val="24"/>
        </w:rPr>
        <w:t xml:space="preserve">Figure 4 presents demand trajectories by cluster. Governance successfully prevents physically infeasible decisions: zero hallucinations are observed after year 2, with 71 governance retries catching invalid proposals across the 42-year simulation. The maintain_demand action dominates from year 3 onward (75–88% of decisions), consistent with the myopic-conservative tendency documented by Hung and Yang (2021). We attribute limited behavioral diversity to two factors: (1) fixed 10% demand magnitude change (versus cluster-specific magnitudes in FQL) and (2) basin-level drought indices that provide identical threat signals to all agents.</w:t>
      </w:r>
    </w:p>
    <w:p>
      <w:pPr>
        <w:spacing w:before="240" w:after="60" w:line="480"/>
        <w:jc w:val="center"/>
      </w:pPr>
      <w:r>
        <w:rPr>
          <w:rFonts w:ascii="Times New Roman" w:cs="Times New Roman" w:eastAsia="Times New Roman" w:hAnsi="Times New Roman"/>
          <w:i/>
          <w:iCs/>
          <w:color w:val="CC0000"/>
          <w:sz w:val="24"/>
          <w:szCs w:val="24"/>
        </w:rPr>
        <w:t xml:space="preserve">[FIGURE 4: Irrigation Results — Demand trajectories by cluster vs. Hung &amp; Yang (2021)]</w:t>
      </w:r>
    </w:p>
    <w:p>
      <w:r>
        <w:br w:type="page"/>
      </w:r>
    </w:p>
    <w:p>
      <w:pPr>
        <w:pStyle w:val="Heading1"/>
        <w:spacing w:before="360" w:after="240" w:line="480"/>
      </w:pPr>
      <w:r>
        <w:rPr>
          <w:rFonts w:ascii="Times New Roman" w:cs="Times New Roman" w:eastAsia="Times New Roman" w:hAnsi="Times New Roman"/>
          <w:b/>
          <w:bCs/>
          <w:sz w:val="28"/>
          <w:szCs w:val="28"/>
        </w:rPr>
        <w:t xml:space="preserve">6. Discussion</w:t>
      </w:r>
    </w:p>
    <w:p>
      <w:pPr>
        <w:spacing w:line="480" w:after="120"/>
        <w:ind w:firstLine="360"/>
        <w:jc w:val="both"/>
      </w:pPr>
      <w:r>
        <w:rPr>
          <w:rFonts w:ascii="Times New Roman" w:cs="Times New Roman" w:eastAsia="Times New Roman" w:hAnsi="Times New Roman"/>
          <w:sz w:val="24"/>
          <w:szCs w:val="24"/>
        </w:rPr>
        <w:t xml:space="preserve">EBE provides a diagnostic that raw entropy cannot: the ability to distinguish genuine behavioral diversity from hallucination artifacts. In Group A, raw H</w:t>
      </w:r>
      <w:r>
        <w:rPr>
          <w:rFonts w:ascii="Times New Roman" w:cs="Times New Roman" w:eastAsia="Times New Roman" w:hAnsi="Times New Roman"/>
          <w:sz w:val="24"/>
          <w:szCs w:val="24"/>
          <w:vertAlign w:val="subscript"/>
        </w:rPr>
        <w:t xml:space="preserve">norm</w:t>
      </w:r>
      <w:r>
        <w:rPr>
          <w:rFonts w:ascii="Times New Roman" w:cs="Times New Roman" w:eastAsia="Times New Roman" w:hAnsi="Times New Roman"/>
          <w:sz w:val="24"/>
          <w:szCs w:val="24"/>
        </w:rPr>
        <w:t xml:space="preserve"> averages 0.61—suggesting moderate diversity—but EBE corrects this to 0.41, revealing that one-third of apparent diversity is physically impossible. This finding implies that studies reporting LLM-ABM behavioral richness without hallucination accounting may overestimate the quality of emergent behavior. We recommend that the community adopt hallucination-corrected metrics alongside raw diversity measures (Jost, 2006).</w:t>
      </w:r>
    </w:p>
    <w:p>
      <w:pPr>
        <w:spacing w:line="480" w:after="120"/>
        <w:ind w:firstLine="360"/>
        <w:jc w:val="both"/>
      </w:pPr>
      <w:r>
        <w:rPr>
          <w:rFonts w:ascii="Times New Roman" w:cs="Times New Roman" w:eastAsia="Times New Roman" w:hAnsi="Times New Roman"/>
          <w:sz w:val="24"/>
          <w:szCs w:val="24"/>
        </w:rPr>
        <w:t xml:space="preserve">Cross-model robustness testing across seven LLM configurations (Gemma 3 4B/12B/27B, DeepSeek R1 1.5B/8B/14B/32B) reveals that governance prevents mode collapse—a phenomenon where ungoverned models converge on a single dominant action. Gemma 3 12B exhibits 79% hallucination in Group A (mode collapse to “Both”), while DeepSeek R1 8B locks into Elevation (97%). Governed groups maintain H</w:t>
      </w:r>
      <w:r>
        <w:rPr>
          <w:rFonts w:ascii="Times New Roman" w:cs="Times New Roman" w:eastAsia="Times New Roman" w:hAnsi="Times New Roman"/>
          <w:sz w:val="24"/>
          <w:szCs w:val="24"/>
          <w:vertAlign w:val="subscript"/>
        </w:rPr>
        <w:t xml:space="preserve">norm</w:t>
      </w:r>
      <w:r>
        <w:rPr>
          <w:rFonts w:ascii="Times New Roman" w:cs="Times New Roman" w:eastAsia="Times New Roman" w:hAnsi="Times New Roman"/>
          <w:sz w:val="24"/>
          <w:szCs w:val="24"/>
        </w:rPr>
        <w:t xml:space="preserve"> in the 0.3–0.8 range across all model sizes (Gemma Team, 2024; Guo et al., 2025).</w:t>
      </w:r>
    </w:p>
    <w:p>
      <w:pPr>
        <w:spacing w:line="480" w:after="120"/>
        <w:ind w:firstLine="360"/>
        <w:jc w:val="both"/>
      </w:pPr>
      <w:r>
        <w:rPr>
          <w:rFonts w:ascii="Times New Roman" w:cs="Times New Roman" w:eastAsia="Times New Roman" w:hAnsi="Times New Roman"/>
          <w:sz w:val="24"/>
          <w:szCs w:val="24"/>
        </w:rPr>
        <w:t xml:space="preserve">Several limitations warrant discussion. First, our primary results are based on single-seed runs (N=100 agents provides within-run statistical power, but cross-seed variability is not quantified). Second, LLM temperature is fixed at the model default; sensitivity to sampling parameters remains unexplored. Third, the irrigation case study demonstrates governance transferability but produces limited behavioral diversity due to uniform environmental signals. Fourth, the soft governance design—where rejected actions still execute with REJECTED status after maximum retries—is intentional for measurement purposes but would require hard enforcement in operational applications.</w:t>
      </w:r>
    </w:p>
    <w:p>
      <w:pPr>
        <w:pStyle w:val="Heading1"/>
        <w:spacing w:before="360" w:after="240" w:line="480"/>
      </w:pPr>
      <w:r>
        <w:rPr>
          <w:rFonts w:ascii="Times New Roman" w:cs="Times New Roman" w:eastAsia="Times New Roman" w:hAnsi="Times New Roman"/>
          <w:b/>
          <w:bCs/>
          <w:sz w:val="28"/>
          <w:szCs w:val="28"/>
        </w:rPr>
        <w:t xml:space="preserve">7. Conclusions</w:t>
      </w:r>
    </w:p>
    <w:p>
      <w:pPr>
        <w:spacing w:line="480" w:after="120"/>
        <w:ind w:firstLine="360"/>
        <w:jc w:val="both"/>
      </w:pPr>
      <w:r>
        <w:rPr>
          <w:rFonts w:ascii="Times New Roman" w:cs="Times New Roman" w:eastAsia="Times New Roman" w:hAnsi="Times New Roman"/>
          <w:sz w:val="24"/>
          <w:szCs w:val="24"/>
        </w:rPr>
        <w:t xml:space="preserve">We have presented SAGE, the first governance middleware for LLM-driven agent-based models of human–water systems, along with the Effective Behavioral Entropy (EBE) metric for measuring genuine decision diversity. Three findings emerge from our two-domain validation.</w:t>
      </w:r>
    </w:p>
    <w:p>
      <w:pPr>
        <w:spacing w:line="480" w:after="120"/>
        <w:ind w:firstLine="360"/>
        <w:jc w:val="both"/>
      </w:pPr>
      <w:r>
        <w:rPr>
          <w:rFonts w:ascii="Times New Roman" w:cs="Times New Roman" w:eastAsia="Times New Roman" w:hAnsi="Times New Roman"/>
          <w:sz w:val="24"/>
          <w:szCs w:val="24"/>
        </w:rPr>
        <w:t xml:space="preserve">First, behavioral hallucination is structural, not stochastic. Ungoverned LLM agents produce 33% physically impossible decisions in flood adaptation, with rates increasing as agents accumulate state—a systematic failure that cannot be resolved by prompt engineering alone.</w:t>
      </w:r>
    </w:p>
    <w:p>
      <w:pPr>
        <w:spacing w:line="480" w:after="120"/>
        <w:ind w:firstLine="360"/>
        <w:jc w:val="both"/>
      </w:pPr>
      <w:r>
        <w:rPr>
          <w:rFonts w:ascii="Times New Roman" w:cs="Times New Roman" w:eastAsia="Times New Roman" w:hAnsi="Times New Roman"/>
          <w:sz w:val="24"/>
          <w:szCs w:val="24"/>
        </w:rPr>
        <w:t xml:space="preserve">Second, governance enables rather than constrains diversity. SAGE-governed agents achieve 32% higher EBE than ungoverned agents, and their cumulative relocation rates (32–37%) far exceed the ungoverned baseline (0%), demonstrating that physically valid decision spaces produce richer behavioral outcomes.</w:t>
      </w:r>
    </w:p>
    <w:p>
      <w:pPr>
        <w:spacing w:line="480" w:after="120"/>
        <w:ind w:firstLine="360"/>
        <w:jc w:val="both"/>
      </w:pPr>
      <w:r>
        <w:rPr>
          <w:rFonts w:ascii="Times New Roman" w:cs="Times New Roman" w:eastAsia="Times New Roman" w:hAnsi="Times New Roman"/>
          <w:sz w:val="24"/>
          <w:szCs w:val="24"/>
        </w:rPr>
        <w:t xml:space="preserve">Third, SAGE transfers across domains without core code changes. The same governance engine serves both flood adaptation (PMT appraisal, 5 skills, 100 agents) and irrigation management (dual appraisal, 5 skills, 78 districts) through configuration-only instantiation, supporting the vision of reusable infrastructure for socio-hydrological ABMs (Giuliani et al., 2022; Castelletti et al., 2010).</w:t>
      </w:r>
    </w:p>
    <w:p>
      <w:pPr>
        <w:spacing w:line="480" w:after="120"/>
        <w:ind w:firstLine="360"/>
        <w:jc w:val="both"/>
      </w:pPr>
      <w:r>
        <w:rPr>
          <w:rFonts w:ascii="Times New Roman" w:cs="Times New Roman" w:eastAsia="Times New Roman" w:hAnsi="Times New Roman"/>
          <w:sz w:val="24"/>
          <w:szCs w:val="24"/>
        </w:rPr>
        <w:t xml:space="preserve">Future work should address multi-agent interaction governance (agents currently decide independently), dynamic rule learning (governance rules are currently static), and integration with larger basin-scale models (Berglund, 2015). SAGE, the EBE metric, and all experiment code are available open-source at [GitHub URL].</w:t>
      </w:r>
    </w:p>
    <w:p>
      <w:r>
        <w:br w:type="page"/>
      </w:r>
    </w:p>
    <w:p>
      <w:pPr>
        <w:pStyle w:val="Heading1"/>
        <w:spacing w:before="360" w:after="240" w:line="480"/>
      </w:pPr>
      <w:r>
        <w:rPr>
          <w:rFonts w:ascii="Times New Roman" w:cs="Times New Roman" w:eastAsia="Times New Roman" w:hAnsi="Times New Roman"/>
          <w:b/>
          <w:bCs/>
          <w:sz w:val="28"/>
          <w:szCs w:val="28"/>
        </w:rPr>
        <w:t xml:space="preserve">Data Availability Statement</w:t>
      </w:r>
    </w:p>
    <w:p>
      <w:pPr>
        <w:spacing w:line="480" w:after="120"/>
        <w:jc w:val="both"/>
      </w:pPr>
      <w:r>
        <w:rPr>
          <w:rFonts w:ascii="Times New Roman" w:cs="Times New Roman" w:eastAsia="Times New Roman" w:hAnsi="Times New Roman"/>
          <w:sz w:val="24"/>
          <w:szCs w:val="24"/>
        </w:rPr>
        <w:t xml:space="preserve">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pPr>
        <w:pStyle w:val="Heading1"/>
        <w:spacing w:before="360" w:after="240" w:line="480"/>
      </w:pPr>
      <w:r>
        <w:rPr>
          <w:rFonts w:ascii="Times New Roman" w:cs="Times New Roman" w:eastAsia="Times New Roman" w:hAnsi="Times New Roman"/>
          <w:b/>
          <w:bCs/>
          <w:sz w:val="28"/>
          <w:szCs w:val="28"/>
        </w:rPr>
        <w:t xml:space="preserve">Conflict of Interest</w:t>
      </w:r>
    </w:p>
    <w:p>
      <w:pPr>
        <w:spacing w:line="480" w:after="120"/>
        <w:jc w:val="both"/>
      </w:pPr>
      <w:r>
        <w:rPr>
          <w:rFonts w:ascii="Times New Roman" w:cs="Times New Roman" w:eastAsia="Times New Roman" w:hAnsi="Times New Roman"/>
          <w:sz w:val="24"/>
          <w:szCs w:val="24"/>
        </w:rPr>
        <w:t xml:space="preserve">The authors declare no conflicts of interest relevant to this study.</w:t>
      </w:r>
    </w:p>
    <w:p>
      <w:pPr>
        <w:pStyle w:val="Heading1"/>
        <w:spacing w:before="360" w:after="240" w:line="480"/>
      </w:pPr>
      <w:r>
        <w:rPr>
          <w:rFonts w:ascii="Times New Roman" w:cs="Times New Roman" w:eastAsia="Times New Roman" w:hAnsi="Times New Roman"/>
          <w:b/>
          <w:bCs/>
          <w:sz w:val="28"/>
          <w:szCs w:val="28"/>
        </w:rPr>
        <w:t xml:space="preserve">Author Contributions</w:t>
      </w:r>
    </w:p>
    <w:p>
      <w:pPr>
        <w:spacing w:line="480" w:after="120"/>
        <w:jc w:val="both"/>
      </w:pPr>
      <w:r>
        <w:rPr>
          <w:rFonts w:ascii="Times New Roman" w:cs="Times New Roman" w:eastAsia="Times New Roman" w:hAnsi="Times New Roman"/>
          <w:b/>
          <w:bCs/>
          <w:sz w:val="24"/>
          <w:szCs w:val="24"/>
        </w:rPr>
        <w:t xml:space="preserve">Wen-Yu Chen: </w:t>
      </w:r>
      <w:r>
        <w:rPr>
          <w:rFonts w:ascii="Times New Roman" w:cs="Times New Roman" w:eastAsia="Times New Roman" w:hAnsi="Times New Roman"/>
          <w:sz w:val="24"/>
          <w:szCs w:val="24"/>
        </w:rPr>
        <w:t xml:space="preserve">Conceptualization, Methodology, Software, Validation, Formal analysis, Investigation, Writing – Original Draft, Visualization. </w:t>
      </w:r>
      <w:r>
        <w:rPr>
          <w:rFonts w:ascii="Times New Roman" w:cs="Times New Roman" w:eastAsia="Times New Roman" w:hAnsi="Times New Roman"/>
          <w:b/>
          <w:bCs/>
          <w:sz w:val="24"/>
          <w:szCs w:val="24"/>
        </w:rPr>
        <w:t xml:space="preserve">[Second Author]: </w:t>
      </w:r>
      <w:r>
        <w:rPr>
          <w:rFonts w:ascii="Times New Roman" w:cs="Times New Roman" w:eastAsia="Times New Roman" w:hAnsi="Times New Roman"/>
          <w:sz w:val="24"/>
          <w:szCs w:val="24"/>
        </w:rPr>
        <w:t xml:space="preserve">Supervision, Writing – Review &amp; Editing, Funding acquisition.</w:t>
      </w:r>
    </w:p>
    <w:p>
      <w:pPr>
        <w:pStyle w:val="Heading1"/>
        <w:spacing w:before="360" w:after="240" w:line="480"/>
      </w:pPr>
      <w:r>
        <w:rPr>
          <w:rFonts w:ascii="Times New Roman" w:cs="Times New Roman" w:eastAsia="Times New Roman" w:hAnsi="Times New Roman"/>
          <w:b/>
          <w:bCs/>
          <w:sz w:val="28"/>
          <w:szCs w:val="28"/>
        </w:rPr>
        <w:t xml:space="preserve">Acknowledgments</w:t>
      </w:r>
    </w:p>
    <w:p>
      <w:pPr>
        <w:spacing w:line="480" w:after="120"/>
        <w:jc w:val="both"/>
      </w:pPr>
      <w:r>
        <w:rPr>
          <w:rFonts w:ascii="Times New Roman" w:cs="Times New Roman" w:eastAsia="Times New Roman" w:hAnsi="Times New Roman"/>
          <w:sz w:val="24"/>
          <w:szCs w:val="24"/>
        </w:rPr>
        <w:t xml:space="preserve">This work was supported by [funding source].</w:t>
      </w:r>
    </w:p>
    <w:p>
      <w:r>
        <w:br w:type="page"/>
      </w:r>
    </w:p>
    <w:p>
      <w:pPr>
        <w:pStyle w:val="Heading1"/>
        <w:spacing w:before="360" w:after="240" w:line="480"/>
      </w:pPr>
      <w:r>
        <w:rPr>
          <w:rFonts w:ascii="Times New Roman" w:cs="Times New Roman" w:eastAsia="Times New Roman" w:hAnsi="Times New Roman"/>
          <w:b/>
          <w:bCs/>
          <w:sz w:val="28"/>
          <w:szCs w:val="28"/>
        </w:rPr>
        <w:t xml:space="preserve">References</w:t>
      </w:r>
    </w:p>
    <w:p>
      <w:pPr>
        <w:spacing w:line="480" w:after="120"/>
        <w:jc w:val="both"/>
      </w:pPr>
      <w:r>
        <w:rPr>
          <w:rFonts w:ascii="Times New Roman" w:cs="Times New Roman" w:eastAsia="Times New Roman" w:hAnsi="Times New Roman"/>
          <w:sz w:val="24"/>
          <w:szCs w:val="24"/>
        </w:rPr>
        <w:t xml:space="preserve">Aerts, J. C. J. H., et al. (2018). Integrating human behaviour dynamics into flood disaster risk assessment. </w:t>
      </w:r>
      <w:r>
        <w:rPr>
          <w:rFonts w:ascii="Times New Roman" w:cs="Times New Roman" w:eastAsia="Times New Roman" w:hAnsi="Times New Roman"/>
          <w:i/>
          <w:iCs/>
          <w:sz w:val="24"/>
          <w:szCs w:val="24"/>
        </w:rPr>
        <w:t xml:space="preserve">Nature Climate Change</w:t>
      </w:r>
      <w:r>
        <w:rPr>
          <w:rFonts w:ascii="Times New Roman" w:cs="Times New Roman" w:eastAsia="Times New Roman" w:hAnsi="Times New Roman"/>
          <w:sz w:val="24"/>
          <w:szCs w:val="24"/>
        </w:rPr>
        <w:t xml:space="preserve">, 8(3), 193–199.</w:t>
      </w:r>
    </w:p>
    <w:p>
      <w:pPr>
        <w:spacing w:line="480" w:after="120"/>
        <w:jc w:val="both"/>
      </w:pPr>
      <w:r>
        <w:rPr>
          <w:rFonts w:ascii="Times New Roman" w:cs="Times New Roman" w:eastAsia="Times New Roman" w:hAnsi="Times New Roman"/>
          <w:sz w:val="24"/>
          <w:szCs w:val="24"/>
        </w:rPr>
        <w:t xml:space="preserve">Bai, Y., et al. (2022). Constitutional AI: Harmlessness from AI feedback. </w:t>
      </w:r>
      <w:r>
        <w:rPr>
          <w:rFonts w:ascii="Times New Roman" w:cs="Times New Roman" w:eastAsia="Times New Roman" w:hAnsi="Times New Roman"/>
          <w:i/>
          <w:iCs/>
          <w:sz w:val="24"/>
          <w:szCs w:val="24"/>
        </w:rPr>
        <w:t xml:space="preserve">arXiv:2212.08073</w:t>
      </w:r>
      <w:r>
        <w:rPr>
          <w:rFonts w:ascii="Times New Roman" w:cs="Times New Roman" w:eastAsia="Times New Roman" w:hAnsi="Times New Roman"/>
          <w:sz w:val="24"/>
          <w:szCs w:val="24"/>
        </w:rPr>
        <w:t xml:space="preserve">.</w:t>
      </w:r>
    </w:p>
    <w:p>
      <w:pPr>
        <w:spacing w:line="480" w:after="120"/>
        <w:jc w:val="both"/>
      </w:pPr>
      <w:r>
        <w:rPr>
          <w:rFonts w:ascii="Times New Roman" w:cs="Times New Roman" w:eastAsia="Times New Roman" w:hAnsi="Times New Roman"/>
          <w:sz w:val="24"/>
          <w:szCs w:val="24"/>
        </w:rPr>
        <w:t xml:space="preserve">Berglund, E. Z. (2015). Using agent-based modeling for water resources planning and management. </w:t>
      </w:r>
      <w:r>
        <w:rPr>
          <w:rFonts w:ascii="Times New Roman" w:cs="Times New Roman" w:eastAsia="Times New Roman" w:hAnsi="Times New Roman"/>
          <w:i/>
          <w:iCs/>
          <w:sz w:val="24"/>
          <w:szCs w:val="24"/>
        </w:rPr>
        <w:t xml:space="preserve">J. Water Resour. Plan. Manag.</w:t>
      </w:r>
      <w:r>
        <w:rPr>
          <w:rFonts w:ascii="Times New Roman" w:cs="Times New Roman" w:eastAsia="Times New Roman" w:hAnsi="Times New Roman"/>
          <w:sz w:val="24"/>
          <w:szCs w:val="24"/>
        </w:rPr>
        <w:t xml:space="preserve">, 141(11), 04015025.</w:t>
      </w:r>
    </w:p>
    <w:p>
      <w:pPr>
        <w:spacing w:line="480" w:after="120"/>
        <w:jc w:val="both"/>
      </w:pPr>
      <w:r>
        <w:rPr>
          <w:rFonts w:ascii="Times New Roman" w:cs="Times New Roman" w:eastAsia="Times New Roman" w:hAnsi="Times New Roman"/>
          <w:sz w:val="24"/>
          <w:szCs w:val="24"/>
        </w:rPr>
        <w:t xml:space="preserve">Boiko, D. A., et al. (2023). Emergent autonomous scientific research capabilities of large language models.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624, 570–578.</w:t>
      </w:r>
    </w:p>
    <w:p>
      <w:pPr>
        <w:spacing w:line="480" w:after="120"/>
        <w:jc w:val="both"/>
      </w:pPr>
      <w:r>
        <w:rPr>
          <w:rFonts w:ascii="Times New Roman" w:cs="Times New Roman" w:eastAsia="Times New Roman" w:hAnsi="Times New Roman"/>
          <w:sz w:val="24"/>
          <w:szCs w:val="24"/>
        </w:rPr>
        <w:t xml:space="preserve">Bubeck, P., et al. (2012). A review of risk perceptions and other factors that influence flood mitigation behavior. </w:t>
      </w:r>
      <w:r>
        <w:rPr>
          <w:rFonts w:ascii="Times New Roman" w:cs="Times New Roman" w:eastAsia="Times New Roman" w:hAnsi="Times New Roman"/>
          <w:i/>
          <w:iCs/>
          <w:sz w:val="24"/>
          <w:szCs w:val="24"/>
        </w:rPr>
        <w:t xml:space="preserve">Risk Analysis</w:t>
      </w:r>
      <w:r>
        <w:rPr>
          <w:rFonts w:ascii="Times New Roman" w:cs="Times New Roman" w:eastAsia="Times New Roman" w:hAnsi="Times New Roman"/>
          <w:sz w:val="24"/>
          <w:szCs w:val="24"/>
        </w:rPr>
        <w:t xml:space="preserve">, 32(9), 1481–1495.</w:t>
      </w:r>
    </w:p>
    <w:p>
      <w:pPr>
        <w:spacing w:line="480" w:after="120"/>
        <w:jc w:val="both"/>
      </w:pPr>
      <w:r>
        <w:rPr>
          <w:rFonts w:ascii="Times New Roman" w:cs="Times New Roman" w:eastAsia="Times New Roman" w:hAnsi="Times New Roman"/>
          <w:sz w:val="24"/>
          <w:szCs w:val="24"/>
        </w:rPr>
        <w:t xml:space="preserve">Castelletti, A., et al. (2010). Tree-based reinforcement learning for optimal water reservoir operation. </w:t>
      </w:r>
      <w:r>
        <w:rPr>
          <w:rFonts w:ascii="Times New Roman" w:cs="Times New Roman" w:eastAsia="Times New Roman" w:hAnsi="Times New Roman"/>
          <w:i/>
          <w:iCs/>
          <w:sz w:val="24"/>
          <w:szCs w:val="24"/>
        </w:rPr>
        <w:t xml:space="preserve">Water Resour. Res.</w:t>
      </w:r>
      <w:r>
        <w:rPr>
          <w:rFonts w:ascii="Times New Roman" w:cs="Times New Roman" w:eastAsia="Times New Roman" w:hAnsi="Times New Roman"/>
          <w:sz w:val="24"/>
          <w:szCs w:val="24"/>
        </w:rPr>
        <w:t xml:space="preserve">, 46(9), W09507.</w:t>
      </w:r>
    </w:p>
    <w:p>
      <w:pPr>
        <w:spacing w:line="480" w:after="120"/>
        <w:jc w:val="both"/>
      </w:pPr>
      <w:r>
        <w:rPr>
          <w:rFonts w:ascii="Times New Roman" w:cs="Times New Roman" w:eastAsia="Times New Roman" w:hAnsi="Times New Roman"/>
          <w:sz w:val="24"/>
          <w:szCs w:val="24"/>
        </w:rPr>
        <w:t xml:space="preserve">Di Baldassarre, G., et al. (2013). Socio-hydrology: Conceptualising human-flood interactions. </w:t>
      </w:r>
      <w:r>
        <w:rPr>
          <w:rFonts w:ascii="Times New Roman" w:cs="Times New Roman" w:eastAsia="Times New Roman" w:hAnsi="Times New Roman"/>
          <w:i/>
          <w:iCs/>
          <w:sz w:val="24"/>
          <w:szCs w:val="24"/>
        </w:rPr>
        <w:t xml:space="preserve">Hydrol. Earth Syst. Sci.</w:t>
      </w:r>
      <w:r>
        <w:rPr>
          <w:rFonts w:ascii="Times New Roman" w:cs="Times New Roman" w:eastAsia="Times New Roman" w:hAnsi="Times New Roman"/>
          <w:sz w:val="24"/>
          <w:szCs w:val="24"/>
        </w:rPr>
        <w:t xml:space="preserve">, 17(8), 3295–3303.</w:t>
      </w:r>
    </w:p>
    <w:p>
      <w:pPr>
        <w:spacing w:line="480" w:after="120"/>
        <w:jc w:val="both"/>
      </w:pPr>
      <w:r>
        <w:rPr>
          <w:rFonts w:ascii="Times New Roman" w:cs="Times New Roman" w:eastAsia="Times New Roman" w:hAnsi="Times New Roman"/>
          <w:sz w:val="24"/>
          <w:szCs w:val="24"/>
        </w:rPr>
        <w:t xml:space="preserve">Filatova, T., et al. (2013). Spatial agent-based models for socio-ecological systems. </w:t>
      </w:r>
      <w:r>
        <w:rPr>
          <w:rFonts w:ascii="Times New Roman" w:cs="Times New Roman" w:eastAsia="Times New Roman" w:hAnsi="Times New Roman"/>
          <w:i/>
          <w:iCs/>
          <w:sz w:val="24"/>
          <w:szCs w:val="24"/>
        </w:rPr>
        <w:t xml:space="preserve">Environ. Model. Softw.</w:t>
      </w:r>
      <w:r>
        <w:rPr>
          <w:rFonts w:ascii="Times New Roman" w:cs="Times New Roman" w:eastAsia="Times New Roman" w:hAnsi="Times New Roman"/>
          <w:sz w:val="24"/>
          <w:szCs w:val="24"/>
        </w:rPr>
        <w:t xml:space="preserve">, 45, 1–7.</w:t>
      </w:r>
    </w:p>
    <w:p>
      <w:pPr>
        <w:spacing w:line="480" w:after="120"/>
        <w:jc w:val="both"/>
      </w:pPr>
      <w:r>
        <w:rPr>
          <w:rFonts w:ascii="Times New Roman" w:cs="Times New Roman" w:eastAsia="Times New Roman" w:hAnsi="Times New Roman"/>
          <w:sz w:val="24"/>
          <w:szCs w:val="24"/>
        </w:rPr>
        <w:t xml:space="preserve">Gao, C., et al. (2024). Large language models empowered agent-based modeling and simulation: A survey. </w:t>
      </w:r>
      <w:r>
        <w:rPr>
          <w:rFonts w:ascii="Times New Roman" w:cs="Times New Roman" w:eastAsia="Times New Roman" w:hAnsi="Times New Roman"/>
          <w:i/>
          <w:iCs/>
          <w:sz w:val="24"/>
          <w:szCs w:val="24"/>
        </w:rPr>
        <w:t xml:space="preserve">Humanit. Soc. Sci. Commun.</w:t>
      </w:r>
      <w:r>
        <w:rPr>
          <w:rFonts w:ascii="Times New Roman" w:cs="Times New Roman" w:eastAsia="Times New Roman" w:hAnsi="Times New Roman"/>
          <w:sz w:val="24"/>
          <w:szCs w:val="24"/>
        </w:rPr>
        <w:t xml:space="preserve">, 11, 1498.</w:t>
      </w:r>
    </w:p>
    <w:p>
      <w:pPr>
        <w:spacing w:line="480" w:after="120"/>
        <w:jc w:val="both"/>
      </w:pPr>
      <w:r>
        <w:rPr>
          <w:rFonts w:ascii="Times New Roman" w:cs="Times New Roman" w:eastAsia="Times New Roman" w:hAnsi="Times New Roman"/>
          <w:sz w:val="24"/>
          <w:szCs w:val="24"/>
        </w:rPr>
        <w:t xml:space="preserve">Gemma Team (2024). Gemma: Open models based on Gemini research and technology. </w:t>
      </w:r>
      <w:r>
        <w:rPr>
          <w:rFonts w:ascii="Times New Roman" w:cs="Times New Roman" w:eastAsia="Times New Roman" w:hAnsi="Times New Roman"/>
          <w:i/>
          <w:iCs/>
          <w:sz w:val="24"/>
          <w:szCs w:val="24"/>
        </w:rPr>
        <w:t xml:space="preserve">arXiv:2403.08295</w:t>
      </w:r>
      <w:r>
        <w:rPr>
          <w:rFonts w:ascii="Times New Roman" w:cs="Times New Roman" w:eastAsia="Times New Roman" w:hAnsi="Times New Roman"/>
          <w:sz w:val="24"/>
          <w:szCs w:val="24"/>
        </w:rPr>
        <w:t xml:space="preserve">.</w:t>
      </w:r>
    </w:p>
    <w:p>
      <w:pPr>
        <w:spacing w:line="480" w:after="120"/>
        <w:jc w:val="both"/>
      </w:pPr>
      <w:r>
        <w:rPr>
          <w:rFonts w:ascii="Times New Roman" w:cs="Times New Roman" w:eastAsia="Times New Roman" w:hAnsi="Times New Roman"/>
          <w:sz w:val="24"/>
          <w:szCs w:val="24"/>
        </w:rPr>
        <w:t xml:space="preserve">Giuliani, M., et al. (2016). Is robustness really robust? </w:t>
      </w:r>
      <w:r>
        <w:rPr>
          <w:rFonts w:ascii="Times New Roman" w:cs="Times New Roman" w:eastAsia="Times New Roman" w:hAnsi="Times New Roman"/>
          <w:i/>
          <w:iCs/>
          <w:sz w:val="24"/>
          <w:szCs w:val="24"/>
        </w:rPr>
        <w:t xml:space="preserve">Climatic Change</w:t>
      </w:r>
      <w:r>
        <w:rPr>
          <w:rFonts w:ascii="Times New Roman" w:cs="Times New Roman" w:eastAsia="Times New Roman" w:hAnsi="Times New Roman"/>
          <w:sz w:val="24"/>
          <w:szCs w:val="24"/>
        </w:rPr>
        <w:t xml:space="preserve">, 135(3), 409–424.</w:t>
      </w:r>
    </w:p>
    <w:p>
      <w:pPr>
        <w:spacing w:line="480" w:after="120"/>
        <w:jc w:val="both"/>
      </w:pPr>
      <w:r>
        <w:rPr>
          <w:rFonts w:ascii="Times New Roman" w:cs="Times New Roman" w:eastAsia="Times New Roman" w:hAnsi="Times New Roman"/>
          <w:sz w:val="24"/>
          <w:szCs w:val="24"/>
        </w:rPr>
        <w:t xml:space="preserve">Giuliani, M., et al. (2022). Is it worth using AI to solve the water crisis? </w:t>
      </w:r>
      <w:r>
        <w:rPr>
          <w:rFonts w:ascii="Times New Roman" w:cs="Times New Roman" w:eastAsia="Times New Roman" w:hAnsi="Times New Roman"/>
          <w:i/>
          <w:iCs/>
          <w:sz w:val="24"/>
          <w:szCs w:val="24"/>
        </w:rPr>
        <w:t xml:space="preserve">Water Resour. Res.</w:t>
      </w:r>
      <w:r>
        <w:rPr>
          <w:rFonts w:ascii="Times New Roman" w:cs="Times New Roman" w:eastAsia="Times New Roman" w:hAnsi="Times New Roman"/>
          <w:sz w:val="24"/>
          <w:szCs w:val="24"/>
        </w:rPr>
        <w:t xml:space="preserve">, 58(4), e2021WR031219.</w:t>
      </w:r>
    </w:p>
    <w:p>
      <w:pPr>
        <w:spacing w:line="480" w:after="120"/>
        <w:jc w:val="both"/>
      </w:pPr>
      <w:r>
        <w:rPr>
          <w:rFonts w:ascii="Times New Roman" w:cs="Times New Roman" w:eastAsia="Times New Roman" w:hAnsi="Times New Roman"/>
          <w:sz w:val="24"/>
          <w:szCs w:val="24"/>
        </w:rPr>
        <w:t xml:space="preserve">Guo, D., et al. (2025). DeepSeek-R1: Incentivizing reasoning capability in LLMs via reinforcement learning. </w:t>
      </w:r>
      <w:r>
        <w:rPr>
          <w:rFonts w:ascii="Times New Roman" w:cs="Times New Roman" w:eastAsia="Times New Roman" w:hAnsi="Times New Roman"/>
          <w:i/>
          <w:iCs/>
          <w:sz w:val="24"/>
          <w:szCs w:val="24"/>
        </w:rPr>
        <w:t xml:space="preserve">arXiv:2501.12948</w:t>
      </w:r>
      <w:r>
        <w:rPr>
          <w:rFonts w:ascii="Times New Roman" w:cs="Times New Roman" w:eastAsia="Times New Roman" w:hAnsi="Times New Roman"/>
          <w:sz w:val="24"/>
          <w:szCs w:val="24"/>
        </w:rPr>
        <w:t xml:space="preserve">.</w:t>
      </w:r>
    </w:p>
    <w:p>
      <w:pPr>
        <w:spacing w:line="480" w:after="120"/>
        <w:jc w:val="both"/>
      </w:pPr>
      <w:r>
        <w:rPr>
          <w:rFonts w:ascii="Times New Roman" w:cs="Times New Roman" w:eastAsia="Times New Roman" w:hAnsi="Times New Roman"/>
          <w:sz w:val="24"/>
          <w:szCs w:val="24"/>
        </w:rPr>
        <w:t xml:space="preserve">Hadjimichael, A., et al. (2020). Defining robustness for diverse stakeholder interests in institutionally complex river basins. </w:t>
      </w:r>
      <w:r>
        <w:rPr>
          <w:rFonts w:ascii="Times New Roman" w:cs="Times New Roman" w:eastAsia="Times New Roman" w:hAnsi="Times New Roman"/>
          <w:i/>
          <w:iCs/>
          <w:sz w:val="24"/>
          <w:szCs w:val="24"/>
        </w:rPr>
        <w:t xml:space="preserve">Earth’s Future</w:t>
      </w:r>
      <w:r>
        <w:rPr>
          <w:rFonts w:ascii="Times New Roman" w:cs="Times New Roman" w:eastAsia="Times New Roman" w:hAnsi="Times New Roman"/>
          <w:sz w:val="24"/>
          <w:szCs w:val="24"/>
        </w:rPr>
        <w:t xml:space="preserve">, 8(7), e2020EF001503.</w:t>
      </w:r>
    </w:p>
    <w:p>
      <w:pPr>
        <w:spacing w:line="480" w:after="120"/>
        <w:jc w:val="both"/>
      </w:pPr>
      <w:r>
        <w:rPr>
          <w:rFonts w:ascii="Times New Roman" w:cs="Times New Roman" w:eastAsia="Times New Roman" w:hAnsi="Times New Roman"/>
          <w:sz w:val="24"/>
          <w:szCs w:val="24"/>
        </w:rPr>
        <w:t xml:space="preserve">Herman, J. D., et al. (2015). How should robustness be defined for water systems planning under change? </w:t>
      </w:r>
      <w:r>
        <w:rPr>
          <w:rFonts w:ascii="Times New Roman" w:cs="Times New Roman" w:eastAsia="Times New Roman" w:hAnsi="Times New Roman"/>
          <w:i/>
          <w:iCs/>
          <w:sz w:val="24"/>
          <w:szCs w:val="24"/>
        </w:rPr>
        <w:t xml:space="preserve">J. Water Resour. Plan. Manag.</w:t>
      </w:r>
      <w:r>
        <w:rPr>
          <w:rFonts w:ascii="Times New Roman" w:cs="Times New Roman" w:eastAsia="Times New Roman" w:hAnsi="Times New Roman"/>
          <w:sz w:val="24"/>
          <w:szCs w:val="24"/>
        </w:rPr>
        <w:t xml:space="preserve">, 141(10), 04015012.</w:t>
      </w:r>
    </w:p>
    <w:p>
      <w:pPr>
        <w:spacing w:line="480" w:after="120"/>
        <w:jc w:val="both"/>
      </w:pPr>
      <w:r>
        <w:rPr>
          <w:rFonts w:ascii="Times New Roman" w:cs="Times New Roman" w:eastAsia="Times New Roman" w:hAnsi="Times New Roman"/>
          <w:sz w:val="24"/>
          <w:szCs w:val="24"/>
        </w:rPr>
        <w:t xml:space="preserve">Hung, C.-L., &amp; Yang, Y. C. E. (2021). An agent-based modeling approach for water resources management under uncertainty. </w:t>
      </w:r>
      <w:r>
        <w:rPr>
          <w:rFonts w:ascii="Times New Roman" w:cs="Times New Roman" w:eastAsia="Times New Roman" w:hAnsi="Times New Roman"/>
          <w:i/>
          <w:iCs/>
          <w:sz w:val="24"/>
          <w:szCs w:val="24"/>
        </w:rPr>
        <w:t xml:space="preserve">Water Resour. Res.</w:t>
      </w:r>
      <w:r>
        <w:rPr>
          <w:rFonts w:ascii="Times New Roman" w:cs="Times New Roman" w:eastAsia="Times New Roman" w:hAnsi="Times New Roman"/>
          <w:sz w:val="24"/>
          <w:szCs w:val="24"/>
        </w:rPr>
        <w:t xml:space="preserve">, 57(10), e2021WR030519.</w:t>
      </w:r>
    </w:p>
    <w:p>
      <w:pPr>
        <w:spacing w:line="480" w:after="120"/>
        <w:jc w:val="both"/>
      </w:pPr>
      <w:r>
        <w:rPr>
          <w:rFonts w:ascii="Times New Roman" w:cs="Times New Roman" w:eastAsia="Times New Roman" w:hAnsi="Times New Roman"/>
          <w:sz w:val="24"/>
          <w:szCs w:val="24"/>
        </w:rPr>
        <w:t xml:space="preserve">Ji, Z., et al. (2023). Survey of hallucination in natural language generation. </w:t>
      </w:r>
      <w:r>
        <w:rPr>
          <w:rFonts w:ascii="Times New Roman" w:cs="Times New Roman" w:eastAsia="Times New Roman" w:hAnsi="Times New Roman"/>
          <w:i/>
          <w:iCs/>
          <w:sz w:val="24"/>
          <w:szCs w:val="24"/>
        </w:rPr>
        <w:t xml:space="preserve">ACM Comput. Surv.</w:t>
      </w:r>
      <w:r>
        <w:rPr>
          <w:rFonts w:ascii="Times New Roman" w:cs="Times New Roman" w:eastAsia="Times New Roman" w:hAnsi="Times New Roman"/>
          <w:sz w:val="24"/>
          <w:szCs w:val="24"/>
        </w:rPr>
        <w:t xml:space="preserve">, 55(12), 1–38.</w:t>
      </w:r>
    </w:p>
    <w:p>
      <w:pPr>
        <w:spacing w:line="480" w:after="120"/>
        <w:jc w:val="both"/>
      </w:pPr>
      <w:r>
        <w:rPr>
          <w:rFonts w:ascii="Times New Roman" w:cs="Times New Roman" w:eastAsia="Times New Roman" w:hAnsi="Times New Roman"/>
          <w:sz w:val="24"/>
          <w:szCs w:val="24"/>
        </w:rPr>
        <w:t xml:space="preserve">Jost, L. (2006). Entropy and diversity. </w:t>
      </w:r>
      <w:r>
        <w:rPr>
          <w:rFonts w:ascii="Times New Roman" w:cs="Times New Roman" w:eastAsia="Times New Roman" w:hAnsi="Times New Roman"/>
          <w:i/>
          <w:iCs/>
          <w:sz w:val="24"/>
          <w:szCs w:val="24"/>
        </w:rPr>
        <w:t xml:space="preserve">Oikos</w:t>
      </w:r>
      <w:r>
        <w:rPr>
          <w:rFonts w:ascii="Times New Roman" w:cs="Times New Roman" w:eastAsia="Times New Roman" w:hAnsi="Times New Roman"/>
          <w:sz w:val="24"/>
          <w:szCs w:val="24"/>
        </w:rPr>
        <w:t xml:space="preserve">, 113(2), 363–375.</w:t>
      </w:r>
    </w:p>
    <w:p>
      <w:pPr>
        <w:spacing w:line="480" w:after="120"/>
        <w:jc w:val="both"/>
      </w:pPr>
      <w:r>
        <w:rPr>
          <w:rFonts w:ascii="Times New Roman" w:cs="Times New Roman" w:eastAsia="Times New Roman" w:hAnsi="Times New Roman"/>
          <w:sz w:val="24"/>
          <w:szCs w:val="24"/>
        </w:rPr>
        <w:t xml:space="preserve">Kanta, L., &amp; Zechman, E. (2014). Complex adaptive systems framework for urban water resources. </w:t>
      </w:r>
      <w:r>
        <w:rPr>
          <w:rFonts w:ascii="Times New Roman" w:cs="Times New Roman" w:eastAsia="Times New Roman" w:hAnsi="Times New Roman"/>
          <w:i/>
          <w:iCs/>
          <w:sz w:val="24"/>
          <w:szCs w:val="24"/>
        </w:rPr>
        <w:t xml:space="preserve">J. Water Resour. Plan. Manag.</w:t>
      </w:r>
      <w:r>
        <w:rPr>
          <w:rFonts w:ascii="Times New Roman" w:cs="Times New Roman" w:eastAsia="Times New Roman" w:hAnsi="Times New Roman"/>
          <w:sz w:val="24"/>
          <w:szCs w:val="24"/>
        </w:rPr>
        <w:t xml:space="preserve">, 140(1), 75–85.</w:t>
      </w:r>
    </w:p>
    <w:p>
      <w:pPr>
        <w:spacing w:line="480" w:after="120"/>
        <w:jc w:val="both"/>
      </w:pPr>
      <w:r>
        <w:rPr>
          <w:rFonts w:ascii="Times New Roman" w:cs="Times New Roman" w:eastAsia="Times New Roman" w:hAnsi="Times New Roman"/>
          <w:sz w:val="24"/>
          <w:szCs w:val="24"/>
        </w:rPr>
        <w:t xml:space="preserve">Ollama (2024). Ollama: Run large language models locally. https://ollama.com</w:t>
      </w:r>
    </w:p>
    <w:p>
      <w:pPr>
        <w:spacing w:line="480" w:after="120"/>
        <w:jc w:val="both"/>
      </w:pPr>
      <w:r>
        <w:rPr>
          <w:rFonts w:ascii="Times New Roman" w:cs="Times New Roman" w:eastAsia="Times New Roman" w:hAnsi="Times New Roman"/>
          <w:sz w:val="24"/>
          <w:szCs w:val="24"/>
        </w:rPr>
        <w:t xml:space="preserve">Ouyang, L., et al. (2022). Training language models to follow instructions with human feedback. </w:t>
      </w:r>
      <w:r>
        <w:rPr>
          <w:rFonts w:ascii="Times New Roman" w:cs="Times New Roman" w:eastAsia="Times New Roman" w:hAnsi="Times New Roman"/>
          <w:i/>
          <w:iCs/>
          <w:sz w:val="24"/>
          <w:szCs w:val="24"/>
        </w:rPr>
        <w:t xml:space="preserve">NeurIPS</w:t>
      </w:r>
      <w:r>
        <w:rPr>
          <w:rFonts w:ascii="Times New Roman" w:cs="Times New Roman" w:eastAsia="Times New Roman" w:hAnsi="Times New Roman"/>
          <w:sz w:val="24"/>
          <w:szCs w:val="24"/>
        </w:rPr>
        <w:t xml:space="preserve">, 35, 27730–27744.</w:t>
      </w:r>
    </w:p>
    <w:p>
      <w:pPr>
        <w:spacing w:line="480" w:after="120"/>
        <w:jc w:val="both"/>
      </w:pPr>
      <w:r>
        <w:rPr>
          <w:rFonts w:ascii="Times New Roman" w:cs="Times New Roman" w:eastAsia="Times New Roman" w:hAnsi="Times New Roman"/>
          <w:sz w:val="24"/>
          <w:szCs w:val="24"/>
        </w:rPr>
        <w:t xml:space="preserve">Park, J. S., et al. (2023). Generative agents: Interactive simulacra of human behavior. </w:t>
      </w:r>
      <w:r>
        <w:rPr>
          <w:rFonts w:ascii="Times New Roman" w:cs="Times New Roman" w:eastAsia="Times New Roman" w:hAnsi="Times New Roman"/>
          <w:i/>
          <w:iCs/>
          <w:sz w:val="24"/>
          <w:szCs w:val="24"/>
        </w:rPr>
        <w:t xml:space="preserve">ACM UIST</w:t>
      </w:r>
      <w:r>
        <w:rPr>
          <w:rFonts w:ascii="Times New Roman" w:cs="Times New Roman" w:eastAsia="Times New Roman" w:hAnsi="Times New Roman"/>
          <w:sz w:val="24"/>
          <w:szCs w:val="24"/>
        </w:rPr>
        <w:t xml:space="preserve">, 1–22.</w:t>
      </w:r>
    </w:p>
    <w:p>
      <w:pPr>
        <w:spacing w:line="480" w:after="120"/>
        <w:jc w:val="both"/>
      </w:pPr>
      <w:r>
        <w:rPr>
          <w:rFonts w:ascii="Times New Roman" w:cs="Times New Roman" w:eastAsia="Times New Roman" w:hAnsi="Times New Roman"/>
          <w:sz w:val="24"/>
          <w:szCs w:val="24"/>
        </w:rPr>
        <w:t xml:space="preserve">Rao, A. S., &amp; Georgeff, M. P. (1995). BDI agents: From theory to practice. </w:t>
      </w:r>
      <w:r>
        <w:rPr>
          <w:rFonts w:ascii="Times New Roman" w:cs="Times New Roman" w:eastAsia="Times New Roman" w:hAnsi="Times New Roman"/>
          <w:i/>
          <w:iCs/>
          <w:sz w:val="24"/>
          <w:szCs w:val="24"/>
        </w:rPr>
        <w:t xml:space="preserve">Proc. 1st Int. Conf. Multi-Agent Syst.</w:t>
      </w:r>
      <w:r>
        <w:rPr>
          <w:rFonts w:ascii="Times New Roman" w:cs="Times New Roman" w:eastAsia="Times New Roman" w:hAnsi="Times New Roman"/>
          <w:sz w:val="24"/>
          <w:szCs w:val="24"/>
        </w:rPr>
        <w:t xml:space="preserve">, 312–319.</w:t>
      </w:r>
    </w:p>
    <w:p>
      <w:pPr>
        <w:spacing w:line="480" w:after="120"/>
        <w:jc w:val="both"/>
      </w:pPr>
      <w:r>
        <w:rPr>
          <w:rFonts w:ascii="Times New Roman" w:cs="Times New Roman" w:eastAsia="Times New Roman" w:hAnsi="Times New Roman"/>
          <w:sz w:val="24"/>
          <w:szCs w:val="24"/>
        </w:rPr>
        <w:t xml:space="preserve">Rogers, R. W. (1975). A protection motivation theory of fear appeals and attitude change. </w:t>
      </w:r>
      <w:r>
        <w:rPr>
          <w:rFonts w:ascii="Times New Roman" w:cs="Times New Roman" w:eastAsia="Times New Roman" w:hAnsi="Times New Roman"/>
          <w:i/>
          <w:iCs/>
          <w:sz w:val="24"/>
          <w:szCs w:val="24"/>
        </w:rPr>
        <w:t xml:space="preserve">The Journal of Psychology</w:t>
      </w:r>
      <w:r>
        <w:rPr>
          <w:rFonts w:ascii="Times New Roman" w:cs="Times New Roman" w:eastAsia="Times New Roman" w:hAnsi="Times New Roman"/>
          <w:sz w:val="24"/>
          <w:szCs w:val="24"/>
        </w:rPr>
        <w:t xml:space="preserve">, 91(1), 93–114.</w:t>
      </w:r>
    </w:p>
    <w:p>
      <w:pPr>
        <w:spacing w:line="480" w:after="120"/>
        <w:jc w:val="both"/>
      </w:pPr>
      <w:r>
        <w:rPr>
          <w:rFonts w:ascii="Times New Roman" w:cs="Times New Roman" w:eastAsia="Times New Roman" w:hAnsi="Times New Roman"/>
          <w:sz w:val="24"/>
          <w:szCs w:val="24"/>
        </w:rPr>
        <w:t xml:space="preserve">Rogers, R. W. (1983). Cognitive and psychological processes in fear appeals and attitude change. In J. Cacioppo &amp; R. Petty (Eds.), </w:t>
      </w:r>
      <w:r>
        <w:rPr>
          <w:rFonts w:ascii="Times New Roman" w:cs="Times New Roman" w:eastAsia="Times New Roman" w:hAnsi="Times New Roman"/>
          <w:i/>
          <w:iCs/>
          <w:sz w:val="24"/>
          <w:szCs w:val="24"/>
        </w:rPr>
        <w:t xml:space="preserve">Social Psychophysiology</w:t>
      </w:r>
      <w:r>
        <w:rPr>
          <w:rFonts w:ascii="Times New Roman" w:cs="Times New Roman" w:eastAsia="Times New Roman" w:hAnsi="Times New Roman"/>
          <w:sz w:val="24"/>
          <w:szCs w:val="24"/>
        </w:rPr>
        <w:t xml:space="preserve"> (pp. 153–176). Guilford Press.</w:t>
      </w:r>
    </w:p>
    <w:p>
      <w:pPr>
        <w:spacing w:line="480" w:after="120"/>
        <w:jc w:val="both"/>
      </w:pPr>
      <w:r>
        <w:rPr>
          <w:rFonts w:ascii="Times New Roman" w:cs="Times New Roman" w:eastAsia="Times New Roman" w:hAnsi="Times New Roman"/>
          <w:sz w:val="24"/>
          <w:szCs w:val="24"/>
        </w:rPr>
        <w:t xml:space="preserve">Shannon, C. E. (1948). A mathematical theory of communication. </w:t>
      </w:r>
      <w:r>
        <w:rPr>
          <w:rFonts w:ascii="Times New Roman" w:cs="Times New Roman" w:eastAsia="Times New Roman" w:hAnsi="Times New Roman"/>
          <w:i/>
          <w:iCs/>
          <w:sz w:val="24"/>
          <w:szCs w:val="24"/>
        </w:rPr>
        <w:t xml:space="preserve">Bell Syst. Tech. J.</w:t>
      </w:r>
      <w:r>
        <w:rPr>
          <w:rFonts w:ascii="Times New Roman" w:cs="Times New Roman" w:eastAsia="Times New Roman" w:hAnsi="Times New Roman"/>
          <w:sz w:val="24"/>
          <w:szCs w:val="24"/>
        </w:rPr>
        <w:t xml:space="preserve">, 27(3), 379–423.</w:t>
      </w:r>
    </w:p>
    <w:p>
      <w:pPr>
        <w:spacing w:line="480" w:after="120"/>
        <w:jc w:val="both"/>
      </w:pPr>
      <w:r>
        <w:rPr>
          <w:rFonts w:ascii="Times New Roman" w:cs="Times New Roman" w:eastAsia="Times New Roman" w:hAnsi="Times New Roman"/>
          <w:sz w:val="24"/>
          <w:szCs w:val="24"/>
        </w:rPr>
        <w:t xml:space="preserve">Shumailov, I., et al. (2024). AI models collapse when trained on recursively generated data.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631, 755–759.</w:t>
      </w:r>
    </w:p>
    <w:p>
      <w:pPr>
        <w:spacing w:line="480" w:after="120"/>
        <w:jc w:val="both"/>
      </w:pPr>
      <w:r>
        <w:rPr>
          <w:rFonts w:ascii="Times New Roman" w:cs="Times New Roman" w:eastAsia="Times New Roman" w:hAnsi="Times New Roman"/>
          <w:sz w:val="24"/>
          <w:szCs w:val="24"/>
        </w:rPr>
        <w:t xml:space="preserve">Sivapalan, M., et al. (2012). Socio-hydrology: A new science of people and water. </w:t>
      </w:r>
      <w:r>
        <w:rPr>
          <w:rFonts w:ascii="Times New Roman" w:cs="Times New Roman" w:eastAsia="Times New Roman" w:hAnsi="Times New Roman"/>
          <w:i/>
          <w:iCs/>
          <w:sz w:val="24"/>
          <w:szCs w:val="24"/>
        </w:rPr>
        <w:t xml:space="preserve">Hydrol. Process.</w:t>
      </w:r>
      <w:r>
        <w:rPr>
          <w:rFonts w:ascii="Times New Roman" w:cs="Times New Roman" w:eastAsia="Times New Roman" w:hAnsi="Times New Roman"/>
          <w:sz w:val="24"/>
          <w:szCs w:val="24"/>
        </w:rPr>
        <w:t xml:space="preserve">, 26(8), 1270–1276.</w:t>
      </w:r>
    </w:p>
    <w:p>
      <w:pPr>
        <w:spacing w:line="480" w:after="120"/>
        <w:jc w:val="both"/>
      </w:pPr>
      <w:r>
        <w:rPr>
          <w:rFonts w:ascii="Times New Roman" w:cs="Times New Roman" w:eastAsia="Times New Roman" w:hAnsi="Times New Roman"/>
          <w:sz w:val="24"/>
          <w:szCs w:val="24"/>
        </w:rPr>
        <w:t xml:space="preserve">Touvron, H., et al. (2023). Llama 2: Open foundation and fine-tuned chat models. </w:t>
      </w:r>
      <w:r>
        <w:rPr>
          <w:rFonts w:ascii="Times New Roman" w:cs="Times New Roman" w:eastAsia="Times New Roman" w:hAnsi="Times New Roman"/>
          <w:i/>
          <w:iCs/>
          <w:sz w:val="24"/>
          <w:szCs w:val="24"/>
        </w:rPr>
        <w:t xml:space="preserve">arXiv:2307.09288</w:t>
      </w:r>
      <w:r>
        <w:rPr>
          <w:rFonts w:ascii="Times New Roman" w:cs="Times New Roman" w:eastAsia="Times New Roman" w:hAnsi="Times New Roman"/>
          <w:sz w:val="24"/>
          <w:szCs w:val="24"/>
        </w:rPr>
        <w:t xml:space="preserve">.</w:t>
      </w:r>
    </w:p>
    <w:p>
      <w:pPr>
        <w:spacing w:line="480" w:after="120"/>
        <w:jc w:val="both"/>
      </w:pPr>
      <w:r>
        <w:rPr>
          <w:rFonts w:ascii="Times New Roman" w:cs="Times New Roman" w:eastAsia="Times New Roman" w:hAnsi="Times New Roman"/>
          <w:sz w:val="24"/>
          <w:szCs w:val="24"/>
        </w:rPr>
        <w:t xml:space="preserve">U.S. Bureau of Reclamation (2012). Colorado River Simulation System (CRSS). Washington, DC.</w:t>
      </w:r>
    </w:p>
    <w:p>
      <w:pPr>
        <w:spacing w:line="480" w:after="120"/>
        <w:jc w:val="both"/>
      </w:pPr>
      <w:r>
        <w:rPr>
          <w:rFonts w:ascii="Times New Roman" w:cs="Times New Roman" w:eastAsia="Times New Roman" w:hAnsi="Times New Roman"/>
          <w:sz w:val="24"/>
          <w:szCs w:val="24"/>
        </w:rPr>
        <w:t xml:space="preserve">Wei, J., et al. (2022). Chain-of-thought prompting elicits reasoning in large language models. </w:t>
      </w:r>
      <w:r>
        <w:rPr>
          <w:rFonts w:ascii="Times New Roman" w:cs="Times New Roman" w:eastAsia="Times New Roman" w:hAnsi="Times New Roman"/>
          <w:i/>
          <w:iCs/>
          <w:sz w:val="24"/>
          <w:szCs w:val="24"/>
        </w:rPr>
        <w:t xml:space="preserve">NeurIPS</w:t>
      </w:r>
      <w:r>
        <w:rPr>
          <w:rFonts w:ascii="Times New Roman" w:cs="Times New Roman" w:eastAsia="Times New Roman" w:hAnsi="Times New Roman"/>
          <w:sz w:val="24"/>
          <w:szCs w:val="24"/>
        </w:rPr>
        <w:t xml:space="preserve">, 35, 24824–24837.</w:t>
      </w:r>
    </w:p>
    <w:p>
      <w:pPr>
        <w:spacing w:line="480" w:after="120"/>
        <w:jc w:val="both"/>
      </w:pPr>
      <w:r>
        <w:rPr>
          <w:rFonts w:ascii="Times New Roman" w:cs="Times New Roman" w:eastAsia="Times New Roman" w:hAnsi="Times New Roman"/>
          <w:sz w:val="24"/>
          <w:szCs w:val="24"/>
        </w:rPr>
        <w:t xml:space="preserve">Yang, Y. C. E., et al. (2009). A decentralized optimization algorithm for multiagent system-based watershed management. </w:t>
      </w:r>
      <w:r>
        <w:rPr>
          <w:rFonts w:ascii="Times New Roman" w:cs="Times New Roman" w:eastAsia="Times New Roman" w:hAnsi="Times New Roman"/>
          <w:i/>
          <w:iCs/>
          <w:sz w:val="24"/>
          <w:szCs w:val="24"/>
        </w:rPr>
        <w:t xml:space="preserve">Water Resour. Res.</w:t>
      </w:r>
      <w:r>
        <w:rPr>
          <w:rFonts w:ascii="Times New Roman" w:cs="Times New Roman" w:eastAsia="Times New Roman" w:hAnsi="Times New Roman"/>
          <w:sz w:val="24"/>
          <w:szCs w:val="24"/>
        </w:rPr>
        <w:t xml:space="preserve">, 45(8), W08430.</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SAGE: Governance Middleware for LLM-Driven Water ABMs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2026-01-31T17:23:19.490Z</dcterms:created>
  <dcterms:modified xsi:type="dcterms:W3CDTF">2026-01-31T17:23:19.491Z</dcterms:modified>
</cp:coreProperties>
</file>

<file path=docProps/custom.xml><?xml version="1.0" encoding="utf-8"?>
<Properties xmlns="http://schemas.openxmlformats.org/officeDocument/2006/custom-properties" xmlns:vt="http://schemas.openxmlformats.org/officeDocument/2006/docPropsVTypes"/>
</file>