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80" w:before="240" w:line="480" w:lineRule="auto"/>
        <w:jc w:val="center"/>
      </w:pPr>
      <w:r>
        <w:drawing>
          <wp:inline xmlns:a="http://schemas.openxmlformats.org/drawingml/2006/main" xmlns:pic="http://schemas.openxmlformats.org/drawingml/2006/picture">
            <wp:extent cx="5486400" cy="6830954"/>
            <wp:docPr id="1" name="Picture 1"/>
            <wp:cNvGraphicFramePr>
              <a:graphicFrameLocks noChangeAspect="1"/>
            </wp:cNvGraphicFramePr>
            <a:graphic>
              <a:graphicData uri="http://schemas.openxmlformats.org/drawingml/2006/picture">
                <pic:pic>
                  <pic:nvPicPr>
                    <pic:cNvPr id="0" name="Fig1_framework.png"/>
                    <pic:cNvPicPr/>
                  </pic:nvPicPr>
                  <pic:blipFill>
                    <a:blip r:embed="rId9"/>
                    <a:stretch>
                      <a:fillRect/>
                    </a:stretch>
                  </pic:blipFill>
                  <pic:spPr>
                    <a:xfrm>
                      <a:off x="0" y="0"/>
                      <a:ext cx="5486400" cy="6830954"/>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Architecture of the Water Agent Governance Framework.</w:t>
      </w:r>
      <w:r>
        <w:rPr>
          <w:rFonts w:ascii="Times New Roman" w:hAnsi="Times New Roman" w:eastAsia="Times New Roman"/>
          <w:b w:val="0"/>
          <w:i w:val="0"/>
          <w:sz w:val="18"/>
        </w:rPr>
        <w:t xml:space="preserve"> (a) High-level simulation loop: each time step, agents propose actions in natural language; institutional rules validate proposals; the simulation executes validated actions and returns updated environmental signals. (b) Six-step governance pipeline with the institutional compliance rule (demand ceiling) highlighted as the target of the A1 ablation experiment.</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Section S11).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Section S11).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 (EHE)</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Behavioural Rationality Index, the fraction of high-scarcity decisions where agents did not increase demand (null expectation under uniform random = 60%; see Methods for relationship to IBR used in the flood domain). A1 removes the demand ceiling stabilizer only (see next section). FQL uses the same reservoir model and governance validators but replaces natural-language reasoning with a Q-learning decision kernel (2-action: increase/decrease); EHE and BRI are not computed because 84–89% of FQL actions resulted from validator blocking rather than agent choice (Supplementary Section S11). See Supplementary Table S6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EHE rose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skills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S2–S4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EHE</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EHE = mean of per-year normalized Shannon entropy H/log₂(k) over active years;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Table S1).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(delta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 EHE</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 EHE</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EHE = mean of per-year normalized Shannon entropy; delta = governed minus ungoverned; mean ± s.d. over 3 runs. 95% CIs from Welch t-distribution. Post-relocation agent-years excluded. Full IBR decomposition in Table S1.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broker with domain-specific rule configurations rather than redesigned decision logic, the architecture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309499"/>
            <wp:docPr id="2" name="Picture 2"/>
            <wp:cNvGraphicFramePr>
              <a:graphicFrameLocks noChangeAspect="1"/>
            </wp:cNvGraphicFramePr>
            <a:graphic>
              <a:graphicData uri="http://schemas.openxmlformats.org/drawingml/2006/picture">
                <pic:pic>
                  <pic:nvPicPr>
                    <pic:cNvPr id="0" name="Fig2_irrigation.png"/>
                    <pic:cNvPicPr/>
                  </pic:nvPicPr>
                  <pic:blipFill>
                    <a:blip r:embed="rId10"/>
                    <a:stretch>
                      <a:fillRect/>
                    </a:stretch>
                  </pic:blipFill>
                  <pic:spPr>
                    <a:xfrm>
                      <a:off x="0" y="0"/>
                      <a:ext cx="5486400" cy="4309499"/>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Adaptive exploitation under institutional governance</w:t>
      </w:r>
      <w:r>
        <w:rPr>
          <w:rFonts w:ascii="Times New Roman" w:hAnsi="Times New Roman" w:eastAsia="Times New Roman"/>
          <w:b w:val="0"/>
          <w:i w:val="0"/>
          <w:sz w:val="18"/>
        </w:rPr>
        <w:t xml:space="preserve"> (irrigation domain, Gemma-3 4B, 78 agents × 42 years, 3 seeds). (a) Lake Mead elevation time series with shortage-tier thresholds. (b) Basin demand ratio; governed agents (blue) track drought, ungoverned (red) monotonically increase, FQL (grey) extracts similar volume but with no drought coupling. (c) Skill distribution showing ungoverned collapse into demand increases and FQL dominance of validator-blocked maintain. (d) Strategy diversity (EHE) versus demand–Mead coupling (Pearson r): governed agents occupy the adaptive-diversity quadrant (high EHE, strong coupling); A1 (amber) shows arbitrary diversity (high EHE, weak coupling).</w:t>
      </w:r>
    </w:p>
    <w:p>
      <w:pPr>
        <w:spacing w:after="80" w:before="240" w:line="480" w:lineRule="auto"/>
        <w:jc w:val="center"/>
      </w:pPr>
      <w:r>
        <w:drawing>
          <wp:inline xmlns:a="http://schemas.openxmlformats.org/drawingml/2006/main" xmlns:pic="http://schemas.openxmlformats.org/drawingml/2006/picture">
            <wp:extent cx="5486400" cy="2767375"/>
            <wp:docPr id="3" name="Picture 3"/>
            <wp:cNvGraphicFramePr>
              <a:graphicFrameLocks noChangeAspect="1"/>
            </wp:cNvGraphicFramePr>
            <a:graphic>
              <a:graphicData uri="http://schemas.openxmlformats.org/drawingml/2006/picture">
                <pic:pic>
                  <pic:nvPicPr>
                    <pic:cNvPr id="0" name="Fig3_crossmodel.png"/>
                    <pic:cNvPicPr/>
                  </pic:nvPicPr>
                  <pic:blipFill>
                    <a:blip r:embed="rId11"/>
                    <a:stretch>
                      <a:fillRect/>
                    </a:stretch>
                  </pic:blipFill>
                  <pic:spPr>
                    <a:xfrm>
                      <a:off x="0" y="0"/>
                      <a:ext cx="5486400" cy="2767375"/>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3. Governance effect on strategy diversity across six language models</w:t>
      </w:r>
      <w:r>
        <w:rPr>
          <w:rFonts w:ascii="Times New Roman" w:hAnsi="Times New Roman" w:eastAsia="Times New Roman"/>
          <w:b w:val="0"/>
          <w:i w:val="0"/>
          <w:sz w:val="18"/>
        </w:rPr>
        <w:t xml:space="preserve"> (flood domain, 100 agents × 10 years, 3 runs per condition). (a) Paired comparison of ungoverned (red) and governed (blue) EHE for each model, sorted by parameter count. (b) Forest plot of delta EHE (governed minus ungoverned) with 95% confidence intervals. Blue bars indicate statistically significant effects (CI excludes zero); grey bars indicate non-significant effects.</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Section S11).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broker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Section S2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Skill legality</w:t>
      </w:r>
      <w:r>
        <w:rPr>
          <w:rFonts w:ascii="Times New Roman" w:hAnsi="Times New Roman" w:eastAsia="Times New Roman"/>
          <w:b w:val="0"/>
          <w:i w:val="0"/>
          <w:sz w:val="22"/>
        </w:rPr>
        <w:t>: Verifies the proposed action belongs to the agent's type-specific skill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 doctrine,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spacing w:after="0" w:before="0" w:line="480" w:lineRule="auto"/>
        <w:ind w:firstLine="432"/>
        <w:jc w:val="both"/>
      </w:pPr>
      <w:r>
        <w:rPr>
          <w:rFonts w:ascii="Times New Roman" w:hAnsi="Times New Roman" w:eastAsia="Times New Roman"/>
          <w:b w:val="0"/>
          <w:i w:val="0"/>
          <w:sz w:val="22"/>
        </w:rPr>
        <w:t>The broker core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Skill registries</w:t>
      </w:r>
      <w:r>
        <w:rPr>
          <w:rFonts w:ascii="Times New Roman" w:hAnsi="Times New Roman" w:eastAsia="Times New Roman"/>
          <w:b w:val="0"/>
          <w:i w:val="0"/>
          <w:sz w:val="22"/>
        </w:rPr>
        <w:t xml:space="preserve"> (YAML): Define the action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skill;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skill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SI Table S1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Effective Heterogeneity Entropy (EHE) measures strategy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EHE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skill distributions pooled across seeds, which provide adequate power given the large number of agent-decisions per condition (3,000 for flood, 9,828 for irrigation). To decompose the governance contribution, we computed CACR on proposed skills (pre-governance) and final skills (post-governance), yielding a governance value-add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92, 27–46 (2017).</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Gao, C.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et al. The safe development paradox: an agent-based model for flood risk under climate change in the European Union. Glob. Environ. Change 44, 145–155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C.-L. J.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sectPr w:rsidR="00FC693F" w:rsidRPr="0006063C" w:rsidSect="00034616">
      <w:footerReference w:type="default" r:id="rId12"/>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