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6B4013CC" w14:textId="77777777" w:rsidR="00F803C3" w:rsidRDefault="00000000">
      <w:pPr>
        <w:spacing w:after="120" w:line="480" w:lineRule="auto"/>
        <w:jc w:val="center"/>
      </w:pPr>
      <w:r>
        <w:t>WAGF: A Governance Framework for LLM-Driven Agent-Based Models of Human-Water Systems</w:t>
      </w:r>
    </w:p>
    <w:p w14:paraId="14446E00" w14:textId="6A401164" w:rsidR="00F803C3" w:rsidRDefault="00000000">
      <w:pPr>
        <w:spacing w:after="60" w:line="480" w:lineRule="auto"/>
        <w:jc w:val="center"/>
      </w:pPr>
      <w:r>
        <w:t>Wenyu Chen1, Second Author1</w:t>
      </w:r>
    </w:p>
    <w:p w14:paraId="203CB744" w14:textId="77777777" w:rsidR="00F803C3" w:rsidRDefault="00000000">
      <w:pPr>
        <w:spacing w:after="240" w:line="480" w:lineRule="auto"/>
        <w:jc w:val="center"/>
      </w:pPr>
      <w:r>
        <w:t>1Department of Civil and Environmental Engineering, Lehigh University, Bethlehem, PA, USA</w:t>
      </w:r>
    </w:p>
    <w:p w14:paraId="544F6732" w14:textId="3689DC4B" w:rsidR="00F803C3" w:rsidRDefault="00000000">
      <w:pPr>
        <w:spacing w:after="360" w:line="480" w:lineRule="auto"/>
        <w:jc w:val="center"/>
      </w:pPr>
      <w:r>
        <w:t>Corresponding author: Wen-Yu Chen (wec324@lehigh.edu)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t>WAGF reduces irrational behavior (IBR) relative to ungoverned LLM agents while preserving effective behavioral diversity; feasibility contradiction (FHR) is retained as a strict safety diagnostic.</w:t>
      </w:r>
    </w:p>
    <w:p w14:paraId="79E58D31" w14:textId="77777777" w:rsidR="00F803C3" w:rsidRDefault="00000000">
      <w:pPr>
        <w:pStyle w:val="a4"/>
        <w:numPr>
          <w:ilvl w:val="0"/>
          <w:numId w:val="2"/>
        </w:numPr>
        <w:spacing w:line="480" w:lineRule="auto"/>
      </w:pPr>
      <w:r>
        <w:t>Effective Behavioral Entropy (EHE) separates true decision diversity from hallucination-inflated entropy.</w:t>
      </w:r>
    </w:p>
    <w:p w14:paraId="766689BB" w14:textId="77777777" w:rsidR="00F803C3" w:rsidRDefault="00000000">
      <w:pPr>
        <w:pStyle w:val="a4"/>
        <w:numPr>
          <w:ilvl w:val="0"/>
          <w:numId w:val="2"/>
        </w:numPr>
        <w:spacing w:after="240" w:line="480" w:lineRule="auto"/>
      </w:pPr>
      <w:r>
        <w:t>Governance rules transfer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provide an alternative route for representing context-dependent behavior in agent-based models (ABMs) for water resources planning. However, unconstrained LLM agents can generate state-incompatible or behaviorally inconsistent proposals. We present WAGF (Water Agent Governance Framework), an open-source governance framework that applies domain-specific physical and institutional constraints while retaining bounded behavioral heterogeneity. WAGF integrates three components: (1) a rule-based validator chain, (2) memory and reflection support, and (3) an auditable context-and-execution pipeline. We report complementary diagnostics, irrational behavior (IBR) and feasibility contradiction (FHR), and quantify diversity with Effective Behavioral Entropy (EHE). In flood adaptation experiments (100 agents, 10 years, multiple model sizes), the primary signal is lower IBR in governed groups (B/C) relative to ungoverned Group A, with retained diversity. We further demonstrate transferability in Colorado River irrigation management (78 districts, 42 years).</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t>Artificial intelligence language models can support virtual agents that make human-like decisions in water management simulations. Without governance, agents may produce infeasible or behaviorally inconsistent choices. WAGF checks each decision against identity and physical constraints, then applies coherence checks before execution. This process is designed to improve behavioral coherence while preserving diverse, realistic choices. We demonstrate the approach in two water domains: household flood adaptation and Colorado River irrigation management.</w:t>
      </w:r>
    </w:p>
    <w:p w14:paraId="3E4F53C3" w14:textId="77777777" w:rsidR="00F803C3" w:rsidRDefault="00000000">
      <w:r/>
    </w:p>
    <w:p w14:paraId="044D4333" w14:textId="77777777" w:rsidR="00F803C3" w:rsidRDefault="00000000">
      <w:pPr>
        <w:pStyle w:val="1"/>
        <w:spacing w:line="480" w:lineRule="auto"/>
      </w:pPr>
      <w:r>
        <w:t>1. Introduction</w:t>
      </w:r>
    </w:p>
    <w:p w14:paraId="2317A976" w14:textId="77777777" w:rsidR="00F803C3" w:rsidRDefault="00000000">
      <w:pPr>
        <w:spacing w:after="120" w:line="480" w:lineRule="auto"/>
        <w:ind w:firstLine="360"/>
        <w:jc w:val="both"/>
      </w:pPr>
      <w:r>
        <w:t>Agent-based models (ABMs) are a core method for coupled human-water analysis, including flood adaptation and irrigation under scarcity (Aerts et al., 2018; Di Baldassarre et al., 2013; Hung &amp; Yang, 2021). In water resources practice, many ABMs use theory-grounded decision rules and utility assumptions to keep behavior interpretable and calibratable (Filatova et al., 2013; Berglund, 2015). LLM-driven agents provide an additional modeling option for context-dependent responses and heterogeneous decision patterns (Park et al., 2023; Gao et al., 2024).</w:t>
      </w:r>
    </w:p>
    <w:p w14:paraId="5DCCD49B" w14:textId="77777777" w:rsidR="00F803C3" w:rsidRDefault="00000000">
      <w:pPr>
        <w:spacing w:after="120" w:line="480" w:lineRule="auto"/>
        <w:ind w:firstLine="360"/>
        <w:jc w:val="both"/>
      </w:pPr>
      <w:r>
        <w:t>This shift introduces a governance and validation challenge. Prior work notes that validating generative social simulation remains difficult, especially when action traces are not formally constrained (Ji et al., 2023; Boelaert et al., 2025; Yehudai et al., 2025). In water ABMs, problematic outputs can include re-adopting completed measures, violating allocation constraints, or selecting extreme actions under incompatible states. In our experiments, prompt-only steering was not sufficient to control these patterns consistently, so we use explicit feasibility checks and auditable traces to support transparent behavioral diagnosis.</w:t>
      </w:r>
    </w:p>
    <w:p w14:paraId="160515C1" w14:textId="77777777" w:rsidR="00F803C3" w:rsidRDefault="00000000">
      <w:pPr>
        <w:spacing w:after="120" w:line="480" w:lineRule="auto"/>
        <w:ind w:firstLine="360"/>
        <w:jc w:val="both"/>
      </w:pPr>
      <w:r>
        <w:t>This Technical Note addresses that gap with three contributions. First, it presents WAGF (Water Agent Governance Framework), an open-source governance framework between LLM reasoning and simulation execution. WAGF combines a rule-based validator chain, skill-level action contracts and proposal checks, retry-with-feedback control, and structured audit logging. Second, it introduces Effective Behavioral Entropy (EHE), a diversity summary used alongside feasibility and coherence diagnostics. Third, it demonstrates transfer across two configured domains, household flood adaptation (100 agents, 10 years) and Colorado River irrigation management (78 districts, 42 years). In the flood case, the core effect is governance-level improvement (A vs B/C), while B-vs-C differences are interpreted as process-level evidence rather than a universal dominance claim.</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framework between LLM reasoning and simulation state transition. Identity rules and physical rules are enforced as first-pass constraints before thinking-level coherence checks, so infeasible proposals are filtered prior to execution.</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t>Table 1. Cross-model governance effectiveness in flood adaptation (100 agents, 10 years). Ungov. = Group A (raw LLM), WAGF = governed configurations (Groups B/C). Main table columns emphasize IBR and diversity retention (H_norm, EHE). FHR is retained as a strict feasibility safety diagnostic in SI.</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r>
              <w:t>Ungov. RR(%)</w:t>
            </w:r>
          </w:p>
        </w:tc>
        <w:tc>
          <w:tcPr>
            <w:tcW w:w="1800" w:type="dxa"/>
            <w:shd w:val="clear" w:color="auto" w:fill="D9E2F3"/>
            <w:vAlign w:val="center"/>
          </w:tcPr>
          <w:p>
            <w:r>
              <w:t>WAGF RR(%)</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1.05</w:t>
            </w:r>
          </w:p>
        </w:tc>
        <w:tc>
          <w:tcPr>
            <w:tcW w:w="1800" w:type="dxa"/>
            <w:vAlign w:val="center"/>
          </w:tcPr>
          <w:p>
            <w:r>
              <w:t>0.85</w:t>
            </w:r>
          </w:p>
        </w:tc>
        <w:tc>
          <w:tcPr>
            <w:tcW w:w="2000" w:type="dxa"/>
            <w:vAlign w:val="center"/>
          </w:tcPr>
          <w:p>
            <w:r>
              <w:t>19.5</w:t>
            </w:r>
          </w:p>
        </w:tc>
        <w:tc>
          <w:tcPr>
            <w:tcW w:w="2000" w:type="dxa"/>
            <w:vAlign w:val="center"/>
          </w:tcPr>
          <w:p>
            <w:r>
              <w:t>31.3</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0.51</w:t>
            </w:r>
          </w:p>
        </w:tc>
        <w:tc>
          <w:tcPr>
            <w:tcW w:w="1800" w:type="dxa"/>
            <w:vAlign w:val="center"/>
          </w:tcPr>
          <w:p>
            <w:r>
              <w:t>0.06</w:t>
            </w:r>
          </w:p>
        </w:tc>
        <w:tc>
          <w:tcPr>
            <w:tcW w:w="2000" w:type="dxa"/>
            <w:vAlign w:val="center"/>
          </w:tcPr>
          <w:p>
            <w:r>
              <w:t>88.9</w:t>
            </w:r>
          </w:p>
        </w:tc>
        <w:tc>
          <w:tcPr>
            <w:tcW w:w="2000" w:type="dxa"/>
            <w:vAlign w:val="center"/>
          </w:tcPr>
          <w:p>
            <w:r>
              <w:t>-4.9</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12.00</w:t>
            </w:r>
          </w:p>
        </w:tc>
        <w:tc>
          <w:tcPr>
            <w:tcW w:w="1800" w:type="dxa"/>
            <w:vAlign w:val="center"/>
          </w:tcPr>
          <w:p>
            <w:r>
              <w:t>0.00</w:t>
            </w:r>
          </w:p>
        </w:tc>
        <w:tc>
          <w:tcPr>
            <w:tcW w:w="2000" w:type="dxa"/>
            <w:vAlign w:val="center"/>
          </w:tcPr>
          <w:p>
            <w:r>
              <w:t>100.0</w:t>
            </w:r>
          </w:p>
        </w:tc>
        <w:tc>
          <w:tcPr>
            <w:tcW w:w="2000" w:type="dxa"/>
            <w:vAlign w:val="center"/>
          </w:tcPr>
          <w:p>
            <w:r>
              <w:t>0.2</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8.48</w:t>
            </w:r>
          </w:p>
        </w:tc>
        <w:tc>
          <w:tcPr>
            <w:tcW w:w="1800" w:type="dxa"/>
            <w:vAlign w:val="center"/>
          </w:tcPr>
          <w:p>
            <w:r>
              <w:t>0.29</w:t>
            </w:r>
          </w:p>
        </w:tc>
        <w:tc>
          <w:tcPr>
            <w:tcW w:w="2000" w:type="dxa"/>
            <w:vAlign w:val="center"/>
          </w:tcPr>
          <w:p>
            <w:r>
              <w:t>96.6</w:t>
            </w:r>
          </w:p>
        </w:tc>
        <w:tc>
          <w:tcPr>
            <w:tcW w:w="2000" w:type="dxa"/>
            <w:vAlign w:val="center"/>
          </w:tcPr>
          <w:p>
            <w:r>
              <w:t>59.2</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1.11</w:t>
            </w:r>
          </w:p>
        </w:tc>
        <w:tc>
          <w:tcPr>
            <w:tcW w:w="1800" w:type="dxa"/>
            <w:vAlign w:val="center"/>
          </w:tcPr>
          <w:p>
            <w:r>
              <w:t>0.00</w:t>
            </w:r>
          </w:p>
        </w:tc>
        <w:tc>
          <w:tcPr>
            <w:tcW w:w="2000" w:type="dxa"/>
            <w:vAlign w:val="center"/>
          </w:tcPr>
          <w:p>
            <w:r>
              <w:t>100.0</w:t>
            </w:r>
          </w:p>
        </w:tc>
        <w:tc>
          <w:tcPr>
            <w:tcW w:w="2000" w:type="dxa"/>
            <w:vAlign w:val="center"/>
          </w:tcPr>
          <w:p>
            <w:r>
              <w:t>-15.5</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1.81</w:t>
            </w:r>
          </w:p>
        </w:tc>
        <w:tc>
          <w:tcPr>
            <w:tcW w:w="1800" w:type="dxa"/>
            <w:vAlign w:val="center"/>
          </w:tcPr>
          <w:p>
            <w:r>
              <w:t>0.00</w:t>
            </w:r>
          </w:p>
        </w:tc>
        <w:tc>
          <w:tcPr>
            <w:tcW w:w="2000" w:type="dxa"/>
            <w:vAlign w:val="center"/>
          </w:tcPr>
          <w:p>
            <w:r>
              <w:t>100.0</w:t>
            </w:r>
          </w:p>
        </w:tc>
        <w:tc>
          <w:tcPr>
            <w:tcW w:w="2000" w:type="dxa"/>
            <w:vAlign w:val="center"/>
          </w:tcPr>
          <w:p>
            <w:r>
              <w:t>44.0</w:t>
            </w:r>
          </w:p>
        </w:tc>
      </w:tr>
    </w:tbl>
    <w:p w14:paraId="609D0C5B" w14:textId="77777777" w:rsidR="00F803C3" w:rsidRDefault="00F803C3">
      <w:pPr>
        <w:spacing w:after="240"/>
      </w:pPr>
      <w: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FHR = n_id / n_active          (1)</w:t>
      </w:r>
    </w:p>
    <w:p w14:paraId="51E4AFA6" w14:textId="77777777" w:rsidR="00F803C3" w:rsidRDefault="00000000">
      <w:pPr>
        <w:spacing w:after="120" w:line="480" w:lineRule="auto"/>
        <w:jc w:val="both"/>
      </w:pPr>
      <w:r>
        <w:t>IBR = n_think / n_active          (2)</w:t>
      </w:r>
    </w:p>
    <w:p w14:paraId="4D3349D9" w14:textId="77777777" w:rsidR="00F803C3" w:rsidRDefault="00000000">
      <w:pPr>
        <w:spacing w:before="120" w:after="120" w:line="480" w:lineRule="auto"/>
        <w:jc w:val="center"/>
      </w:pPr>
      <w:r>
        <w:t>FHR is the Feasibility Hallucination Rate (decision-level identity/precondition violations over active decisions), while IBR is the Irrational Behavior Rate (decision-level thinking-rule coherence violations over active decisions). These numerators are counted at decision level and are not equal to retry workload metrics (retry_rows, retry_sum). Effective Behavioral Entropy (EHE) is reported as the population-level diversity indicator in the main results.</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IBR and EHE as the primary pair in the main text; FHR is retained as a secondary safety diagnostic in SI.</w:t>
      </w:r>
    </w:p>
    <w:p w14:paraId="26913CBD" w14:textId="77777777" w:rsidR="00F803C3" w:rsidRDefault="00000000">
      <w:r/>
    </w:p>
    <w:p w14:paraId="2CD3DC67" w14:textId="77777777" w:rsidR="00F803C3" w:rsidRDefault="00000000">
      <w:pPr>
        <w:pStyle w:val="1"/>
        <w:spacing w:line="480" w:lineRule="auto"/>
      </w:pPr>
      <w:r>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t>We compare three configurations using Gemma 3 4B (Gemma Team, 2024) as the primary LLM: Group A (ungoverned; raw LLM output executed directly), Group B (WAGF governance baseline), and Group C (WAGF governance with reflection-enabled memory and priority schema). All groups use identical initial agent profiles, flood sequences, and random seeds to isolate governance effects. B-vs-C is treated as a secondary process comparison, while A-vs-(B/C) is the primary effectiveness comparison.</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household is counted as a feasibility violation (FHR channel). Rationality deviation is evaluated with thinking-rule coherence checks between appraisal and selected action (IBR channel). Both channels are computed at decision level over active decisions, while retry counters are reported separately as governance workload.</w:t>
      </w:r>
    </w:p>
    <w:p w14:paraId="1588D2D4" w14:textId="77777777" w:rsidR="00F803C3" w:rsidRDefault="1937EF80">
      <w:pPr>
        <w:spacing w:after="120" w:line="480" w:lineRule="auto"/>
        <w:ind w:firstLine="360"/>
        <w:jc w:val="both"/>
      </w:pPr>
      <w:r>
        <w:t>Under the current strict feasibility definition (identity/precondition contradictions), FHR remains near zero across most runs. The dominant residual channel is irrational behavior (IBR), and governance (Groups B/C) substantially reduces this channel relative to ungoverned baselines.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The central performance pattern is lower irrational behavior (IBR) under governance with retained effective diversity (EHE). We therefore interpret A-vs-(B/C) as the main effectiveness contrast. B-vs-C differences are reported as secondary process evidence and interpreted conservatively. Raw entropy alone can be misleading when feasibility and coherence channels are not reported jointly; therefore we report IBR, FHR, H_norm, and EHE together.</w:t>
      </w:r>
    </w:p>
    <w:p w14:paraId="73B224E5" w14:textId="77777777" w:rsidR="00F803C3" w:rsidRDefault="00000000">
      <w:pPr>
        <w:spacing w:after="120" w:line="480" w:lineRule="auto"/>
        <w:ind w:firstLine="360"/>
        <w:jc w:val="both"/>
      </w:pPr>
      <w:r>
        <w:t>The most striking behavioral difference is relocation. Group A produces zero cumulative relocations: 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t>[FIGURE 2: Flood Results ??(a) Raw vs corrected entropy with EHE, (b) Cumulative relocation curves]</w:t>
      </w:r>
    </w:p>
    <w:p w14:paraId="36776007" w14:textId="77777777" w:rsidR="00F803C3" w:rsidRDefault="00000000">
      <w:r>
        <w:t>Table 1 (continued). Detailed model-level values are provided in the companion table source (`paper/tables/Table1_executed_metrics_clean_v2.csv`). Cells with incomplete Run_3 coverage are explicitly reported with their available n_runs.</w:t>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r>
              <w:t>Hallucination Rate (RH)</w:t>
            </w:r>
          </w:p>
        </w:tc>
        <w:tc>
          <w:tcPr>
            <w:tcW w:w="2256" w:type="dxa"/>
          </w:tcPr>
          <w:p>
            <w:r>
              <w:t>0.00%</w:t>
            </w:r>
          </w:p>
        </w:tc>
        <w:tc>
          <w:tcPr>
            <w:tcW w:w="2256" w:type="dxa"/>
          </w:tcPr>
          <w:p>
            <w:r>
              <w:t>0.00%</w:t>
            </w:r>
          </w:p>
        </w:tc>
        <w:tc>
          <w:tcPr>
            <w:tcW w:w="2256" w:type="dxa"/>
          </w:tcPr>
          <w:p>
            <w:r>
              <w:t>0.00%</w:t>
            </w:r>
          </w:p>
        </w:tc>
      </w:tr>
      <w:tr w:rsidR="00F803C3" w14:paraId="3DBD30BA" w14:textId="77777777">
        <w:tblPrEx>
          <w:tblCellMar>
            <w:top w:w="0" w:type="dxa"/>
            <w:bottom w:w="0" w:type="dxa"/>
          </w:tblCellMar>
        </w:tblPrEx>
        <w:trPr>
          <w:jc w:val="center"/>
        </w:trPr>
        <w:tc>
          <w:tcPr>
            <w:tcW w:w="2256" w:type="dxa"/>
          </w:tcPr>
          <w:p>
            <w:r>
              <w:t>Total hallucinations</w:t>
            </w:r>
          </w:p>
        </w:tc>
        <w:tc>
          <w:tcPr>
            <w:tcW w:w="2256" w:type="dxa"/>
          </w:tcPr>
          <w:p>
            <w:r>
              <w:t>0</w:t>
            </w:r>
          </w:p>
        </w:tc>
        <w:tc>
          <w:tcPr>
            <w:tcW w:w="2256" w:type="dxa"/>
          </w:tcPr>
          <w:p>
            <w:r>
              <w:t>0</w:t>
            </w:r>
          </w:p>
        </w:tc>
        <w:tc>
          <w:tcPr>
            <w:tcW w:w="2256" w:type="dxa"/>
          </w:tcPr>
          <w:p>
            <w:r>
              <w:t>0</w:t>
            </w:r>
          </w:p>
        </w:tc>
      </w:tr>
      <w:tr w:rsidR="00F803C3" w14:paraId="2956E30D" w14:textId="77777777">
        <w:tblPrEx>
          <w:tblCellMar>
            <w:top w:w="0" w:type="dxa"/>
            <w:bottom w:w="0" w:type="dxa"/>
          </w:tblCellMar>
        </w:tblPrEx>
        <w:trPr>
          <w:jc w:val="center"/>
        </w:trPr>
        <w:tc>
          <w:tcPr>
            <w:tcW w:w="2256" w:type="dxa"/>
          </w:tcPr>
          <w:p>
            <w:r>
              <w:t>Raw Hnorm</w:t>
            </w:r>
          </w:p>
        </w:tc>
        <w:tc>
          <w:tcPr>
            <w:tcW w:w="2256" w:type="dxa"/>
          </w:tcPr>
          <w:p>
            <w:r>
              <w:t>0.584</w:t>
            </w:r>
          </w:p>
        </w:tc>
        <w:tc>
          <w:tcPr>
            <w:tcW w:w="2256" w:type="dxa"/>
          </w:tcPr>
          <w:p>
            <w:r>
              <w:t>0.756</w:t>
            </w:r>
          </w:p>
        </w:tc>
        <w:tc>
          <w:tcPr>
            <w:tcW w:w="2256" w:type="dxa"/>
          </w:tcPr>
          <w:p>
            <w:r>
              <w:t>0.778</w:t>
            </w:r>
          </w:p>
        </w:tc>
      </w:tr>
      <w:tr w:rsidR="00F803C3" w14:paraId="02EF981F" w14:textId="77777777">
        <w:tblPrEx>
          <w:tblCellMar>
            <w:top w:w="0" w:type="dxa"/>
            <w:bottom w:w="0" w:type="dxa"/>
          </w:tblCellMar>
        </w:tblPrEx>
        <w:trPr>
          <w:jc w:val="center"/>
        </w:trPr>
        <w:tc>
          <w:tcPr>
            <w:tcW w:w="2256" w:type="dxa"/>
          </w:tcPr>
          <w:p>
            <w:r>
              <w:t>Corrected Hnorm</w:t>
            </w:r>
          </w:p>
        </w:tc>
        <w:tc>
          <w:tcPr>
            <w:tcW w:w="2256" w:type="dxa"/>
          </w:tcPr>
          <w:p>
            <w:r>
              <w:t>0.584</w:t>
            </w:r>
          </w:p>
        </w:tc>
        <w:tc>
          <w:tcPr>
            <w:tcW w:w="2256" w:type="dxa"/>
          </w:tcPr>
          <w:p>
            <w:r>
              <w:t>0.756</w:t>
            </w:r>
          </w:p>
        </w:tc>
        <w:tc>
          <w:tcPr>
            <w:tcW w:w="2256" w:type="dxa"/>
          </w:tcPr>
          <w:p>
            <w:r>
              <w:t>0.778</w:t>
            </w:r>
          </w:p>
        </w:tc>
      </w:tr>
      <w:tr w:rsidR="00F803C3" w14:paraId="4525F9D5" w14:textId="77777777">
        <w:tblPrEx>
          <w:tblCellMar>
            <w:top w:w="0" w:type="dxa"/>
            <w:bottom w:w="0" w:type="dxa"/>
          </w:tblCellMar>
        </w:tblPrEx>
        <w:trPr>
          <w:jc w:val="center"/>
        </w:trPr>
        <w:tc>
          <w:tcPr>
            <w:tcW w:w="2256" w:type="dxa"/>
          </w:tcPr>
          <w:p>
            <w:r>
              <w:t>EBE</w:t>
            </w:r>
          </w:p>
        </w:tc>
        <w:tc>
          <w:tcPr>
            <w:tcW w:w="2256" w:type="dxa"/>
          </w:tcPr>
          <w:p>
            <w:r>
              <w:t>0.584</w:t>
            </w:r>
          </w:p>
        </w:tc>
        <w:tc>
          <w:tcPr>
            <w:tcW w:w="2256" w:type="dxa"/>
          </w:tcPr>
          <w:p>
            <w:r>
              <w:t>0.756</w:t>
            </w:r>
          </w:p>
        </w:tc>
        <w:tc>
          <w:tcPr>
            <w:tcW w:w="2256" w:type="dxa"/>
          </w:tcPr>
          <w:p>
            <w:r>
              <w:t>0.778</w:t>
            </w:r>
          </w:p>
        </w:tc>
      </w:tr>
      <w:tr w:rsidR="00F803C3" w14:paraId="78BD8F06" w14:textId="77777777">
        <w:tblPrEx>
          <w:tblCellMar>
            <w:top w:w="0" w:type="dxa"/>
            <w:bottom w:w="0" w:type="dxa"/>
          </w:tblCellMar>
        </w:tblPrEx>
        <w:trPr>
          <w:jc w:val="center"/>
        </w:trPr>
        <w:tc>
          <w:tcPr>
            <w:tcW w:w="2256" w:type="dxa"/>
          </w:tcPr>
          <w:p>
            <w:r>
              <w:t>Relocated (Year 10)</w:t>
            </w:r>
          </w:p>
        </w:tc>
        <w:tc>
          <w:tcPr>
            <w:tcW w:w="2256" w:type="dxa"/>
          </w:tcPr>
          <w:p>
            <w:r>
              <w:t>0 / 100</w:t>
            </w:r>
          </w:p>
        </w:tc>
        <w:tc>
          <w:tcPr>
            <w:tcW w:w="2256" w:type="dxa"/>
          </w:tcPr>
          <w:p>
            <w:r>
              <w:t>31 / 100</w:t>
            </w:r>
          </w:p>
        </w:tc>
        <w:tc>
          <w:tcPr>
            <w:tcW w:w="2256" w:type="dxa"/>
          </w:tcPr>
          <w:p>
            <w:r>
              <w:t>35 / 100</w:t>
            </w:r>
          </w:p>
        </w:tc>
      </w:tr>
      <w:tr w:rsidR="00F803C3" w14:paraId="303FEB6D" w14:textId="77777777">
        <w:tblPrEx>
          <w:tblCellMar>
            <w:top w:w="0" w:type="dxa"/>
            <w:bottom w:w="0" w:type="dxa"/>
          </w:tblCellMar>
        </w:tblPrEx>
        <w:trPr>
          <w:jc w:val="center"/>
        </w:trPr>
        <w:tc>
          <w:tcPr>
            <w:tcW w:w="2256" w:type="dxa"/>
          </w:tcPr>
          <w:p>
            <w:r>
              <w:t>Active agents (Year 10)</w:t>
            </w:r>
          </w:p>
        </w:tc>
        <w:tc>
          <w:tcPr>
            <w:tcW w:w="2256" w:type="dxa"/>
          </w:tcPr>
          <w:p>
            <w:r>
              <w:t>100</w:t>
            </w:r>
          </w:p>
        </w:tc>
        <w:tc>
          <w:tcPr>
            <w:tcW w:w="2256" w:type="dxa"/>
          </w:tcPr>
          <w:p>
            <w:r>
              <w:t>69</w:t>
            </w:r>
          </w:p>
        </w:tc>
        <w:tc>
          <w:tcPr>
            <w:tcW w:w="2256" w:type="dxa"/>
          </w:tcPr>
          <w:p>
            <w:r>
              <w:t>65</w:t>
            </w:r>
          </w:p>
        </w:tc>
      </w:tr>
    </w:tbl>
    <w:p w14:paraId="1F376FB8" w14:textId="77777777" w:rsidR="00F803C3" w:rsidRDefault="00000000">
      <w:r>
        <w:t>Pairwise tests (Mann-Whitney U) are interpreted under the updated metric split: IBR as the primary behavioral-rationalization channel, with FHR as a strict secondary safety diagnostic. For B-vs-C, we report effects as exploratory unless replicated under fully balanced run coverage.</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pPr>
      <w:r>
        <w:t>To demonstrate cross-domain configurability, we instantiate WAGF in a Colorado River irrigation-demand setting while keeping the broker runtime unchanged from the flood case. The setup uses 78 CRSS irrigation districts over 42 years (2019-2060) with Gemma 3 4B. Domain adaptation is performed at configuration level: five irrigation skills (increase_large, increase_small, maintain_demand, decrease_small, decrease_large), irrigation-specific validators, and dual appraisal constructs (WSA/ACA) replace the flood-domain artifacts. Agent personas are mapped from FQL-informed clusters (aggressive, forward-looking conservative, myopic conservative), and magnitude is sampled at execution time from persona-specific distributions rather than directly emitted by the LLM.</w:t>
      </w:r>
    </w:p>
    <w:p w:rsidR="BE341ECD" w:rsidRDefault="BE341ECD" w:rsidP="BE341ECD" w14:paraId="57ECC17F" w14:textId="218EF834">
      <w:pPr>
        <w:spacing w:after="120" w:line="480" w:lineRule="auto"/>
        <w:ind w:firstLine="360"/>
        <w:jc w:val="both"/>
        <w:rPr/>
      </w:pPr>
      <w:r>
        <w:t>The irrigation case is used as an application showcase of WAGF deployment rather than the primary effectiveness benchmark. Governance is configured through ordered constraints and auditable execution, while the environment couples annual demand decisions to Lake Mead through a mass-balance update with shortage-tier feedback. This section therefore emphasizes implementation portability and system-level plausibility under a second water-system context.</w:t>
      </w:r>
    </w:p>
    <w:p w14:paraId="37A210A7" w14:textId="77777777" w:rsidR="CF7DCF98" w:rsidRDefault="CF7DCF98" w:rsidP="CF7DCF98">
      <w:pPr>
        <w:spacing w:after="120" w:line="480" w:lineRule="auto"/>
        <w:ind w:firstLine="360"/>
        <w:jc w:val="both"/>
      </w:pPr>
      <w:r/>
    </w:p>
    <w:p w14:paraId="5F65BAD8" w14:textId="77777777" w:rsidR="CF7DCF98" w:rsidRDefault="CF7DCF98" w:rsidP="CF7DCF98">
      <w:pPr>
        <w:spacing w:after="120" w:line="480" w:lineRule="auto"/>
        <w:ind w:firstLine="360"/>
        <w:jc w:val="both"/>
      </w:pPr>
      <w:r/>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pPr>
      <w:r>
        <w:t>Figure 3 presents the irrigation showcase results. At system level, aggregate demand tracks the CRSS reference envelope over the 42-year horizon (mean 5.873 MAF; 37/42 years within +/-10% of the reference), and Lake Mead dynamics span 1003-1179 ft with observed Tier 0-3 years (30/5/2/5). These outputs indicate that the configured WAGF pipeline can produce stable long-horizon trajectories under institutional and hydrologic constraints in this second domain.</w:t>
      </w:r>
    </w:p>
    <w:p w:rsidR="BE341ECD" w:rsidRDefault="BE341ECD" w:rsidP="BE341ECD" w14:paraId="0FD43808" w14:textId="47E802C6">
      <w:pPr>
        <w:spacing w:after="120" w:line="480" w:lineRule="auto"/>
        <w:ind w:firstLine="360"/>
        <w:jc w:val="both"/>
        <w:rPr/>
      </w:pPr>
      <w:r>
        <w:t>The first years exhibit a transient before the trajectory settles into a narrower operating band. We interpret this as expected initialization behavior in a newly configured domain rather than as the target regime. Consistent with the flood case, governance acts as an execution filter that constrains infeasible or incoherent proposals and records traceable outcomes for diagnosis.</w:t>
      </w:r>
    </w:p>
    <w:p w:rsidR="BE341ECD" w:rsidRDefault="BE341ECD" w:rsidP="BE341ECD" w14:paraId="2A00E618" w14:textId="02C3F51C">
      <w:pPr>
        <w:spacing w:after="120" w:line="480" w:lineRule="auto"/>
        <w:ind w:firstLine="360"/>
        <w:jc w:val="both"/>
        <w:rPr/>
      </w:pPr>
      <w:r>
        <w:t>Governance narrows the executable action space while preserving interpretable cluster-level differences. Entropy decreases from proposed to executed actions, indicating constraint-induced compression, while qualitative ordering across behavioral clusters remains visible. For this Technical Note, this evidence is used to show that WAGF can be ported to a distinct human-water setting with bounded heterogeneity retained.</w:t>
      </w:r>
    </w:p>
    <w:p w14:paraId="0051CFE8" w14:textId="77777777" w:rsidR="CF7DCF98" w:rsidRDefault="CF7DCF98" w:rsidP="CF7DCF98">
      <w:pPr>
        <w:spacing w:after="120" w:line="480" w:lineRule="auto"/>
        <w:ind w:firstLine="360"/>
        <w:jc w:val="both"/>
      </w:pPr>
      <w:r>
        <w:t>[FIGURE 3: Irrigation Results - (a) Demand trajectories, (b) Governance outcomes]</w:t>
      </w:r>
    </w:p>
    <w:p w14:paraId="5DA1A643" w14:textId="77777777" w:rsidR="CF7DCF98" w:rsidRDefault="CF7DCF98" w:rsidP="CF7DCF98">
      <w:pPr>
        <w:spacing w:after="120" w:line="480" w:lineRule="auto"/>
        <w:ind w:firstLine="360"/>
        <w:jc w:val="both"/>
      </w:pPr>
      <w:r>
        <w:t>Figure 3. Irrigation application showcase (78 CRSS districts, 42 years, Gemma 3 4B). (a) Annual aggregate demand with CRSS reference envelope. (b) Lake Mead elevation with DCP tier bands. The figure is used to demonstrate cross-domain deployment of the same WAGF runtime through domain-specific configuration artifacts, not as the primary comparative benchmark in this paper.</w:t>
      </w:r>
    </w:p>
    <w:p w14:paraId="1D742DE9" w14:textId="77777777" w:rsidR="CF7DCF98" w:rsidRDefault="CF7DCF98" w:rsidP="CF7DCF98">
      <w:pPr>
        <w:spacing w:after="120" w:line="480" w:lineRule="auto"/>
        <w:ind w:firstLine="360"/>
        <w:jc w:val="both"/>
      </w:pPr>
      <w:r/>
    </w:p>
    <w:p w14:paraId="0D121625" w14:textId="77777777" w:rsidR="CF7DCF98" w:rsidRDefault="CF7DCF98" w:rsidP="CF7DCF98">
      <w:pPr>
        <w:spacing w:before="240" w:after="60" w:line="480" w:lineRule="auto"/>
        <w:jc w:val="center"/>
      </w:pPr>
      <w:r/>
    </w:p>
    <w:p w14:paraId="09E83C65" w14:textId="77777777" w:rsidR="00F803C3" w:rsidRDefault="00000000">
      <w:r/>
    </w:p>
    <w:p w14:paraId="2D61B5F3" w14:textId="77777777" w:rsidR="00F803C3" w:rsidRDefault="00000000">
      <w:pPr>
        <w:pStyle w:val="1"/>
        <w:spacing w:line="480" w:lineRule="auto"/>
      </w:pPr>
      <w:r>
        <w:t>6. Discussion</w:t>
      </w:r>
    </w:p>
    <w:p w14:paraId="188DFB27" w14:textId="77777777" w:rsidR="00F803C3" w:rsidRDefault="00000000">
      <w:pPr>
        <w:spacing w:after="120" w:line="480" w:lineRule="auto"/>
        <w:ind w:firstLine="360"/>
        <w:jc w:val="both"/>
      </w:pPr>
      <w:r>
        <w:t>EHE provides a diagnostic that raw entropy alone cannot, but its interpretation is specific: it adjusts diversity by feasibility burden while preserving action-distribution information. Under the executed-only split, ungoverned Group A shows higher coherence deviation (mean IBR about 4.14%) than governed groups (Group B/C approximately 0), while governed groups retain high effective diversity (group-level EHE around 0.64 versus about 0.48 in Group A). This indicates that governance can suppress incoherent action mass without collapsing behavioral heterogeneity.</w:t>
      </w:r>
    </w:p>
    <w:p w14:paraId="19E8D2C6" w14:textId="77777777" w:rsidR="00F803C3" w:rsidRDefault="00000000">
      <w:pPr>
        <w:spacing w:after="120" w:line="480" w:lineRule="auto"/>
        <w:ind w:firstLine="360"/>
        <w:jc w:val="both"/>
      </w:pPr>
      <w:r>
        <w:t>Cross-model testing suggests that governance mitigates degenerate action concentration in ungoverned settings. In the current runs, A-vs-(B/C) is stable on the primary channel (IBR), while B-vs-C differences are smaller and mixed across model-run pairs. We therefore treat memory/reflection effects as process-level modifiers, supported by trace evidence (retry burden, approval/rejection patterns, and reflection-linked context continuity), rather than as universal outcome gains across all models.</w:t>
      </w:r>
    </w:p>
    <w:p w:rsidR="E8F849E9" w:rsidRDefault="E8F849E9" w:rsidP="E8F849E9" w14:paraId="5F34C229" w14:textId="6A5F7329">
      <w:pPr>
        <w:spacing w:after="120" w:line="480" w:lineRule="auto"/>
        <w:ind w:firstLine="360"/>
        <w:jc w:val="both"/>
        <w:rPr/>
      </w:pPr>
      <w:r>
        <w:t>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p>
    <w:p w14:paraId="13EAB3F9" w14:textId="77777777" w:rsidR="00F803C3" w:rsidRDefault="9E21DE22">
      <w:pPr>
        <w:spacing w:after="120" w:line="480" w:lineRule="auto"/>
        <w:ind w:firstLine="360"/>
        <w:jc w:val="both"/>
      </w:pPr>
      <w:r>
        <w:t>Sixth, reflection provides agent-level action-outcome consolidation. In the current manuscript, its role is interpreted as process support for domain deployment (traceability and context continuity) rather than as a standalone performance claim over the baseline governed configuration.</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framework for LLM-driven agent-based modeling of human-water systems</w:t>
      </w:r>
    </w:p>
    <w:p w14:paraId="5FDBF738" w14:textId="77777777" w:rsidR="00F803C3" w:rsidRDefault="1937EF80">
      <w:pPr>
        <w:spacing w:after="120" w:line="480" w:lineRule="auto"/>
        <w:ind w:firstLine="360"/>
        <w:jc w:val="both"/>
      </w:pPr>
      <w:r>
        <w:t>In the flood case, strict-feasibility FHR remains low in current runs, while coherence deviations (IBR) are materially higher in ungoverned settings.</w:t>
      </w:r>
    </w:p>
    <w:p w14:paraId="14A813A3" w14:textId="77777777" w:rsidR="259F63AB" w:rsidRDefault="259F63AB" w:rsidP="259F63AB">
      <w:pPr>
        <w:spacing w:after="120" w:line="480" w:lineRule="auto"/>
        <w:ind w:firstLine="360"/>
        <w:jc w:val="both"/>
        <w:rPr/>
      </w:pPr>
      <w:r>
        <w:t>Second, governance materially reduces irrational behavior (IBR) while maintaining behavioral diversity. Governed groups show near-zero IBR in current runs and retain high EHE relative to the ungoverned baseline, indicating that governance removes incoherent action mass without collapsing the action repertoire.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In this paper, the irrigation section is used as an application showcase of this portability, while primary effectiveness claims are grounded in the flood benchmark design.</w:t>
      </w:r>
    </w:p>
    <w:p w14:paraId="74D7E92D" w14:textId="77777777" w:rsidR="00F803C3" w:rsidRDefault="00000000">
      <w:pPr>
        <w:spacing w:after="120" w:line="480" w:lineRule="auto"/>
        <w:ind w:firstLine="360"/>
        <w:jc w:val="both"/>
      </w:pPr>
      <w:r>
        <w:t>Future work should extend multi-agent interaction governance, develop data-informed rule induction, and provide fuller inferential summaries for IBR alongside FHR/EHE across domains.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p>
    <w:p w14:paraId="79D34B5B" w14:textId="77777777" w:rsidR="00F803C3" w:rsidRDefault="00000000">
      <w:pPr>
        <w:pStyle w:val="1"/>
        <w:spacing w:line="480" w:lineRule="auto"/>
      </w:pPr>
      <w:r>
        <w:t>Data Availability Statement</w:t>
      </w:r>
    </w:p>
    <w:p w14:paraId="39FEEE40" w14:textId="77777777" w:rsidR="00F803C3" w:rsidRDefault="00000000">
      <w:pPr>
        <w:spacing w:after="120" w:line="480" w:lineRule="auto"/>
        <w:jc w:val="both"/>
      </w:pPr>
      <w: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t>Wen-Yu Chen: Conceptualization, Methodology, Software, Validation, Formal analysis, Investigation, Writing ??Original Draft, Visualization. [Second Author]: 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t>This work was supported by [funding source].</w:t>
      </w:r>
    </w:p>
    <w:p w14:paraId="050C3DC2" w14:textId="77777777" w:rsidR="00F803C3" w:rsidRDefault="00000000">
      <w:r/>
    </w:p>
    <w:p w14:paraId="41A9E523" w14:textId="77777777" w:rsidR="00F803C3" w:rsidRDefault="00000000">
      <w:pPr>
        <w:pStyle w:val="1"/>
        <w:spacing w:line="480" w:lineRule="auto"/>
      </w:pPr>
      <w:r>
        <w:t>References</w:t>
      </w:r>
    </w:p>
    <w:p w14:paraId="2DC84941" w14:textId="77777777" w:rsidR="00F803C3" w:rsidRDefault="00000000">
      <w:pPr>
        <w:spacing w:after="120" w:line="480" w:lineRule="auto"/>
        <w:jc w:val="both"/>
      </w:pPr>
      <w:r>
        <w:t>Aerts, J. C. J. H., et al. (2018). Integrating human behaviour dynamics into flood disaster risk assessment. Nature Climate Change, 8(3), 193??99.</w:t>
      </w:r>
    </w:p>
    <w:p w14:paraId="77AF1EC6" w14:textId="77777777" w:rsidR="00F803C3" w:rsidRDefault="00000000">
      <w:pPr>
        <w:spacing w:after="120" w:line="480" w:lineRule="auto"/>
        <w:jc w:val="both"/>
      </w:pPr>
      <w:r>
        <w:t>Bai, Y., et al. (2022). Constitutional AI: Harmlessness from AI feedback. arXiv:2212.08073.</w:t>
      </w:r>
    </w:p>
    <w:p w14:paraId="143C7BCE" w14:textId="77777777" w:rsidR="00F803C3" w:rsidRDefault="00000000">
      <w:pPr>
        <w:spacing w:after="120" w:line="480" w:lineRule="auto"/>
        <w:jc w:val="both"/>
      </w:pPr>
      <w:r>
        <w:t>Berglund, E. Z. (2015). Using agent-based modeling for water resources planning and management. J. Water Resour. Plan. Manag., 141(11), 04015025.</w:t>
      </w:r>
    </w:p>
    <w:p w14:paraId="6F665AA3" w14:textId="77777777" w:rsidR="00F803C3" w:rsidRDefault="00000000">
      <w:pPr>
        <w:spacing w:after="120" w:line="480" w:lineRule="auto"/>
        <w:jc w:val="both"/>
      </w:pPr>
      <w:r>
        <w:t>Boiko, D. A., et al. (2023). Emergent autonomous scientific research capabilities of large language models. Nature, 624, 570??78.</w:t>
      </w:r>
    </w:p>
    <w:p w14:paraId="44B00006" w14:textId="77777777" w:rsidR="00F803C3" w:rsidRDefault="00000000">
      <w:pPr>
        <w:spacing w:after="120" w:line="480" w:lineRule="auto"/>
        <w:jc w:val="both"/>
      </w:pPr>
      <w:r>
        <w:t>Bubeck, P., et al. (2012). A review of risk perceptions and other factors that influence flood mitigation behavior. Risk Analysis, 32(9), 1481??495.</w:t>
      </w:r>
    </w:p>
    <w:p w14:paraId="2EFDB3BB" w14:textId="77777777" w:rsidR="00F803C3" w:rsidRDefault="00000000">
      <w:pPr>
        <w:spacing w:after="120" w:line="480" w:lineRule="auto"/>
        <w:jc w:val="both"/>
      </w:pPr>
      <w:r>
        <w:t>Castelletti, A., et al. (2010). Tree-based reinforcement learning for optimal water reservoir operation. Water Resour. Res., 46(9), W09507.</w:t>
      </w:r>
    </w:p>
    <w:p w14:paraId="55E4E6B2" w14:textId="77777777" w:rsidR="00F803C3" w:rsidRDefault="00000000">
      <w:pPr>
        <w:spacing w:after="120" w:line="480" w:lineRule="auto"/>
        <w:jc w:val="both"/>
      </w:pPr>
      <w:r>
        <w:t>Di Baldassarre, G., et al. (2013). Socio-hydrology: Conceptualising human-flood interactions. Hydrol. Earth Syst. Sci., 17(8), 3295??303.</w:t>
      </w:r>
    </w:p>
    <w:p w14:paraId="49732BBB" w14:textId="77777777" w:rsidR="00F803C3" w:rsidRDefault="00000000">
      <w:pPr>
        <w:spacing w:after="120" w:line="480" w:lineRule="auto"/>
        <w:jc w:val="both"/>
      </w:pPr>
      <w:r>
        <w:t>Filatova, T., et al. (2013). Spatial agent-based models for socio-ecological systems. Environ. Model. Softw., 45, 1??.</w:t>
      </w:r>
    </w:p>
    <w:p w14:paraId="62618271" w14:textId="77777777" w:rsidR="00F803C3" w:rsidRDefault="00000000">
      <w:pPr>
        <w:spacing w:after="120" w:line="480" w:lineRule="auto"/>
        <w:jc w:val="both"/>
      </w:pPr>
      <w:r>
        <w:t>Gao, C., et al. (2024). Large language models empowered agent-based modeling and simulation: A survey. Humanit. Soc. Sci. Commun., 11, 1498.</w:t>
      </w:r>
    </w:p>
    <w:p w14:paraId="51D61D44" w14:textId="77777777" w:rsidR="00F803C3" w:rsidRDefault="00000000">
      <w:pPr>
        <w:spacing w:after="120" w:line="480" w:lineRule="auto"/>
        <w:jc w:val="both"/>
      </w:pPr>
      <w:r>
        <w:t>Gemma Team (2024). Gemma: Open models based on Gemini research and technology. arXiv:2403.08295.</w:t>
      </w:r>
    </w:p>
    <w:p w14:paraId="1E2D88FB" w14:textId="77777777" w:rsidR="00F803C3" w:rsidRDefault="00000000">
      <w:pPr>
        <w:spacing w:after="120" w:line="480" w:lineRule="auto"/>
        <w:jc w:val="both"/>
      </w:pPr>
      <w:r>
        <w:t>Giuliani, M., et al. (2016). Is robustness really robust? Climatic Change, 135(3), 409??24.</w:t>
      </w:r>
    </w:p>
    <w:p w14:paraId="53ECBF67" w14:textId="77777777" w:rsidR="00F803C3" w:rsidRDefault="00000000">
      <w:pPr>
        <w:spacing w:after="120" w:line="480" w:lineRule="auto"/>
        <w:jc w:val="both"/>
      </w:pPr>
      <w:r>
        <w:t>Giuliani, M., et al. (2022). Is it worth using AI to solve the water crisis? Water Resour. Res., 58(4), e2021WR031219.</w:t>
      </w:r>
    </w:p>
    <w:p w14:paraId="3C77B16D" w14:textId="77777777" w:rsidR="00F803C3" w:rsidRDefault="00000000">
      <w:pPr>
        <w:spacing w:after="120" w:line="480" w:lineRule="auto"/>
        <w:jc w:val="both"/>
      </w:pPr>
      <w:r>
        <w:t>Guo, D., et al. (2025). DeepSeek-R1: Incentivizing reasoning capability in LLMs via reinforcement learning. arXiv:2501.12948.</w:t>
      </w:r>
    </w:p>
    <w:p w14:paraId="56DE88B9" w14:textId="77777777" w:rsidR="00F803C3" w:rsidRDefault="00000000">
      <w:pPr>
        <w:spacing w:after="120" w:line="480" w:lineRule="auto"/>
        <w:jc w:val="both"/>
      </w:pPr>
      <w:r>
        <w:t>Hadjimichael, A., et al. (2020). Defining robustness for diverse stakeholder interests in institutionally complex river basins. Earth's Future, 8(7), e2020EF001503.</w:t>
      </w:r>
    </w:p>
    <w:p w14:paraId="32301127" w14:textId="77777777" w:rsidR="00F803C3" w:rsidRDefault="00000000">
      <w:pPr>
        <w:spacing w:after="120" w:line="480" w:lineRule="auto"/>
        <w:jc w:val="both"/>
      </w:pPr>
      <w:r>
        <w:t>Herman, J. D., et al. (2015). How should robustness be defined for water systems planning under change? J. Water Resour. Plan. Manag., 141(10), 04015012.</w:t>
      </w:r>
    </w:p>
    <w:p w14:paraId="790EC6E0" w14:textId="77777777" w:rsidR="00F803C3" w:rsidRDefault="00000000">
      <w:pPr>
        <w:spacing w:after="120" w:line="480" w:lineRule="auto"/>
        <w:jc w:val="both"/>
      </w:pPr>
      <w:r>
        <w:t>Hung, C.-L., &amp; Yang, Y. C. E. (2021). An agent-based modeling approach for water resources management under uncertainty. Water Resour. Res., 57(10), e2021WR030519.</w:t>
      </w:r>
    </w:p>
    <w:p w14:paraId="46F08B0B" w14:textId="77777777" w:rsidR="00F803C3" w:rsidRDefault="00000000">
      <w:pPr>
        <w:spacing w:after="120" w:line="480" w:lineRule="auto"/>
        <w:jc w:val="both"/>
      </w:pPr>
      <w:r>
        <w:t>Ji, Z., et al. (2023). Survey of hallucination in natural language generation. ACM Comput. Surv., 55(12), 1??8.</w:t>
      </w:r>
    </w:p>
    <w:p w14:paraId="1512EEA7" w14:textId="77777777" w:rsidR="00F803C3" w:rsidRDefault="00000000">
      <w:pPr>
        <w:spacing w:after="120" w:line="480" w:lineRule="auto"/>
        <w:jc w:val="both"/>
      </w:pPr>
      <w:r>
        <w:t>Jost, L. (2006). Entropy and diversity. Oikos, 113(2), 363??75.</w:t>
      </w:r>
    </w:p>
    <w:p w14:paraId="125A455A" w14:textId="77777777" w:rsidR="00F803C3" w:rsidRDefault="00000000">
      <w:pPr>
        <w:spacing w:after="120" w:line="480" w:lineRule="auto"/>
        <w:jc w:val="both"/>
      </w:pPr>
      <w:r>
        <w:t>Kanta, L., &amp; Zechman, E. (2014). Complex adaptive systems framework for urban water resources. J. Water Resour. Plan. Manag., 140(1), 75??5.</w:t>
      </w:r>
    </w:p>
    <w:p w14:paraId="2C234884" w14:textId="77777777" w:rsidR="00F803C3" w:rsidRDefault="00000000">
      <w:pPr>
        <w:spacing w:after="120" w:line="480" w:lineRule="auto"/>
        <w:jc w:val="both"/>
      </w:pPr>
      <w:r>
        <w:t>Ollama (2024). Ollama: Run large language models locally. https://ollama.com</w:t>
      </w:r>
    </w:p>
    <w:p w14:paraId="60A1B9FB" w14:textId="77777777" w:rsidR="00F803C3" w:rsidRDefault="00000000">
      <w:pPr>
        <w:spacing w:after="120" w:line="480" w:lineRule="auto"/>
        <w:jc w:val="both"/>
      </w:pPr>
      <w:r>
        <w:t>Ouyang, L., et al. (2022). Training language models to follow instructions with human feedback. NeurIPS, 35, 27730??7744.</w:t>
      </w:r>
    </w:p>
    <w:p w14:paraId="3768BDB5" w14:textId="77777777" w:rsidR="00F803C3" w:rsidRDefault="00000000">
      <w:pPr>
        <w:spacing w:after="120" w:line="480" w:lineRule="auto"/>
        <w:jc w:val="both"/>
      </w:pPr>
      <w:r>
        <w:t>Park, J. S., et al. (2023). Generative agents: Interactive simulacra of human behavior. ACM UIST, 1??2.</w:t>
      </w:r>
    </w:p>
    <w:p w14:paraId="48429555" w14:textId="77777777" w:rsidR="00F803C3" w:rsidRDefault="00000000">
      <w:pPr>
        <w:spacing w:after="120" w:line="480" w:lineRule="auto"/>
        <w:jc w:val="both"/>
      </w:pPr>
      <w:r>
        <w:t>Rao, A. S., &amp; Georgeff, M. P. (1995). BDI agents: From theory to practice. Proc. 1st Int. Conf. Multi-Agent Syst., 312??19.</w:t>
      </w:r>
    </w:p>
    <w:p w14:paraId="3D67A9C8" w14:textId="77777777" w:rsidR="00F803C3" w:rsidRDefault="00000000">
      <w:pPr>
        <w:spacing w:after="120" w:line="480" w:lineRule="auto"/>
        <w:jc w:val="both"/>
      </w:pPr>
      <w:r>
        <w:t>Rogers, R. W. (1975). A protection motivation theory of fear appeals and attitude change. The Journal of Psychology, 91(1), 93??14.</w:t>
      </w:r>
    </w:p>
    <w:p w14:paraId="4CE93792" w14:textId="77777777" w:rsidR="00F803C3" w:rsidRDefault="00000000">
      <w:pPr>
        <w:spacing w:after="120" w:line="480" w:lineRule="auto"/>
        <w:jc w:val="both"/>
      </w:pPr>
      <w:r>
        <w:t>Rogers, R. W. (1983). Cognitive and psychological processes in fear appeals and attitude change. In J. Cacioppo &amp; R. Petty (Eds.), Social Psychophysiology (pp. 153??76). Guilford Press.</w:t>
      </w:r>
    </w:p>
    <w:p w14:paraId="2A05B4AE" w14:textId="77777777" w:rsidR="00F803C3" w:rsidRDefault="00000000">
      <w:pPr>
        <w:spacing w:after="120" w:line="480" w:lineRule="auto"/>
        <w:jc w:val="both"/>
      </w:pPr>
      <w:r>
        <w:t>Shannon, C. E. (1948). A mathematical theory of communication. Bell Syst. Tech. J., 27(3), 379??23.</w:t>
      </w:r>
    </w:p>
    <w:p w14:paraId="37F14C7B" w14:textId="77777777" w:rsidR="00F803C3" w:rsidRDefault="00000000">
      <w:pPr>
        <w:spacing w:after="120" w:line="480" w:lineRule="auto"/>
        <w:jc w:val="both"/>
      </w:pPr>
      <w:r>
        <w:t>Shumailov, I., et al. (2024). AI models collapse when trained on recursively generated data. Nature, 631, 755??59.</w:t>
      </w:r>
    </w:p>
    <w:p w14:paraId="3F0FD949" w14:textId="77777777" w:rsidR="00F803C3" w:rsidRDefault="00000000">
      <w:pPr>
        <w:spacing w:after="120" w:line="480" w:lineRule="auto"/>
        <w:jc w:val="both"/>
      </w:pPr>
      <w:r>
        <w:t>Sivapalan, M., et al. (2012). Socio-hydrology: A new science of people and water. Hydrol. Process., 26(8), 1270??276.</w:t>
      </w:r>
    </w:p>
    <w:p w14:paraId="5E0F8DC0" w14:textId="77777777" w:rsidR="00F803C3" w:rsidRDefault="00000000">
      <w:pPr>
        <w:spacing w:after="120" w:line="480" w:lineRule="auto"/>
        <w:jc w:val="both"/>
      </w:pPr>
      <w:r>
        <w:t>Touvron, H., et al. (2023). Llama 2: Open foundation and fine-tuned chat models. arXiv:2307.09288.</w:t>
      </w:r>
    </w:p>
    <w:p w14:paraId="15BDDC7D" w14:textId="77777777" w:rsidR="00F803C3" w:rsidRDefault="00000000">
      <w:pPr>
        <w:spacing w:after="120" w:line="480" w:lineRule="auto"/>
        <w:jc w:val="both"/>
      </w:pPr>
      <w:r>
        <w:t>U.S. Bureau of Reclamation (2012). Colorado River Simulation System (CRSS). Washington, DC.</w:t>
      </w:r>
    </w:p>
    <w:p w14:paraId="2FC063CE" w14:textId="77777777" w:rsidR="00F803C3" w:rsidRDefault="00000000">
      <w:pPr>
        <w:spacing w:after="120" w:line="480" w:lineRule="auto"/>
        <w:jc w:val="both"/>
      </w:pPr>
      <w:r>
        <w:t>Wei, J., et al. (2022). Chain-of-thought prompting elicits reasoning in large language models. NeurIPS, 35, 24824??4837.</w:t>
      </w:r>
    </w:p>
    <w:p w14:paraId="02C198C0" w14:textId="77777777" w:rsidR="00F803C3" w:rsidRDefault="00000000">
      <w:pPr>
        <w:spacing w:after="120" w:line="480" w:lineRule="auto"/>
        <w:jc w:val="both"/>
      </w:pPr>
      <w:r>
        <w:t>Yang, Y. C. E., et al. (2009). A decentralized optimization algorithm for multiagent system-based watershed management. Water Resour. Res., 45(8), W08430.</w:t>
      </w:r>
    </w:p>
    <w:p>
      <w:r/>
    </w:p>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ns2="http://schemas.openxmlformats.org/officeDocument/2006/math" xmlns:ns3="urn:schemas-microsoft-com:office:office" xmlns:ns4="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 w:val="78D810E4"/>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w14:docId w14:val="4D927A72"/>
  <w15:docId w15:val="{06CCC1A7-33B5-4603-99BA-173FF5ED8620}"/>
  <w:lnNumType w:countBy="1" w:start="1" w:distance="360" w:restart="newPag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