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5,000 governed decisions validated against empirical behavioural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(see Supplementary Information for paired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r>
        <w:rPr>
          <w:b w:val="0"/>
          <w:i w:val="0"/>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results did not substantively differ from Group B and are omitted;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Strategy diversity metric.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