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5,000 governed decisions validated against 8 empirical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utilized a mean demand ratio of 0.394 of legal entitlements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(see Supplementary Information for paired reasoning traces).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This pre-curtailment acceleration has empirical precedent in prior-appropriation systems where users historically increase diversions in anticipation of curtailment. Our governance architecture suppresses these proposals; future designs could distinguish between physically impossible actions and institutionally unsanctioned-but-observed strategies, preserving them as diagnostic windows into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(Google,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results are reported in Supplementary Section S5;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