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80" w:before="240" w:line="480" w:lineRule="auto"/>
        <w:jc w:val="center"/>
      </w:pPr>
      <w:r>
        <w:drawing>
          <wp:inline xmlns:a="http://schemas.openxmlformats.org/drawingml/2006/main" xmlns:pic="http://schemas.openxmlformats.org/drawingml/2006/picture">
            <wp:extent cx="5486400" cy="5290457"/>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486400" cy="5290457"/>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Architecture of the Water Agent Governance Framework.</w:t>
      </w:r>
      <w:r>
        <w:rPr>
          <w:rFonts w:ascii="Times New Roman" w:hAnsi="Times New Roman" w:eastAsia="Times New Roman"/>
          <w:b w:val="0"/>
          <w:i w:val="0"/>
          <w:sz w:val="18"/>
        </w:rPr>
        <w:t xml:space="preserve"> Each time step, agents propose water-use actions in natural language; institutional rules validate proposals against physical and policy constraints; the simulation executes validated actions and returns updated environmental signals. Three example governance rules are shown, with the demand ceiling (ablation target A1) highlighted. The dashed retry arrow indicates the revision loop when a proposal violates an institutional rule.</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 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broker with domain-specific rule configurations rather than redesigned decision logic, the architecture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309499"/>
            <wp:docPr id="2" name="Picture 2"/>
            <wp:cNvGraphicFramePr>
              <a:graphicFrameLocks noChangeAspect="1"/>
            </wp:cNvGraphicFramePr>
            <a:graphic>
              <a:graphicData uri="http://schemas.openxmlformats.org/drawingml/2006/picture">
                <pic:pic>
                  <pic:nvPicPr>
                    <pic:cNvPr id="0" name="Fig2_irrigation.png"/>
                    <pic:cNvPicPr/>
                  </pic:nvPicPr>
                  <pic:blipFill>
                    <a:blip r:embed="rId10"/>
                    <a:stretch>
                      <a:fillRect/>
                    </a:stretch>
                  </pic:blipFill>
                  <pic:spPr>
                    <a:xfrm>
                      <a:off x="0" y="0"/>
                      <a:ext cx="5486400" cy="4309499"/>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governed agents (blue) track drought, ungoverned (red) monotonically increase, FQL (grey) extracts similar volume but with no drought coupling. (c) Skill distribution showing ungoverned collapse into demand increases and FQL dominance of validator-blocked maintain. (d) Strategy diversity versus demand–Mead coupling (Pearson r): governed agents occupy the adaptive-diversity quadrant (high diversity, strong coupling); A1 (amber) shows arbitrary diversity (high diversity, weak coupling). Bands show ± 1 s.d. across seeds.</w:t>
      </w:r>
    </w:p>
    <w:p>
      <w:pPr>
        <w:spacing w:after="80" w:before="240" w:line="480" w:lineRule="auto"/>
        <w:jc w:val="center"/>
      </w:pPr>
      <w:r>
        <w:drawing>
          <wp:inline xmlns:a="http://schemas.openxmlformats.org/drawingml/2006/main" xmlns:pic="http://schemas.openxmlformats.org/drawingml/2006/picture">
            <wp:extent cx="5486400" cy="2370960"/>
            <wp:docPr id="3" name="Picture 3"/>
            <wp:cNvGraphicFramePr>
              <a:graphicFrameLocks noChangeAspect="1"/>
            </wp:cNvGraphicFramePr>
            <a:graphic>
              <a:graphicData uri="http://schemas.openxmlformats.org/drawingml/2006/picture">
                <pic:pic>
                  <pic:nvPicPr>
                    <pic:cNvPr id="0" name="Fig3_cumulative_adaptation.png"/>
                    <pic:cNvPicPr/>
                  </pic:nvPicPr>
                  <pic:blipFill>
                    <a:blip r:embed="rId11"/>
                    <a:stretch>
                      <a:fillRect/>
                    </a:stretch>
                  </pic:blipFill>
                  <pic:spPr>
                    <a:xfrm>
                      <a:off x="0" y="0"/>
                      <a:ext cx="5486400" cy="237096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3. Flood-adaptation trajectories across agent types</w:t>
      </w:r>
      <w:r>
        <w:rPr>
          <w:rFonts w:ascii="Times New Roman" w:hAnsi="Times New Roman" w:eastAsia="Times New Roman"/>
          <w:b w:val="0"/>
          <w:i w:val="0"/>
          <w:sz w:val="18"/>
        </w:rPr>
        <w:t xml:space="preserve"> (100 agents × 10 years, 3-seed average).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Skill legality</w:t>
      </w:r>
      <w:r>
        <w:rPr>
          <w:rFonts w:ascii="Times New Roman" w:hAnsi="Times New Roman" w:eastAsia="Times New Roman"/>
          <w:b w:val="0"/>
          <w:i w:val="0"/>
          <w:sz w:val="22"/>
        </w:rPr>
        <w:t>: Verifies the proposed action belongs to the agent's type-specific skill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spacing w:after="0" w:before="0" w:line="480" w:lineRule="auto"/>
        <w:ind w:firstLine="432"/>
        <w:jc w:val="both"/>
      </w:pPr>
      <w:r>
        <w:rPr>
          <w:rFonts w:ascii="Times New Roman" w:hAnsi="Times New Roman" w:eastAsia="Times New Roman"/>
          <w:b w:val="0"/>
          <w:i w:val="0"/>
          <w:sz w:val="22"/>
        </w:rPr>
        <w:t>The broker core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Skill registries</w:t>
      </w:r>
      <w:r>
        <w:rPr>
          <w:rFonts w:ascii="Times New Roman" w:hAnsi="Times New Roman" w:eastAsia="Times New Roman"/>
          <w:b w:val="0"/>
          <w:i w:val="0"/>
          <w:sz w:val="22"/>
        </w:rPr>
        <w:t xml:space="preserve"> (YAML): Define the action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skill;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skill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Strategy diversity measures the evenness of action distributions across agent populations using normalized Shannon entropy: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skill distributions pooled across seeds, which provide adequate power given the large number of agent-decisions per condition (3,000 for flood, 9,828 for irrigation). To decompose the governance contribution, we computed CACR on proposed skills (pre-governance) and final skills (post-governance), yielding a governance value-add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92, 27–46 (2017).</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Gao, C.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et al. The safe development paradox: an agent-based model for flood risk under climate change in the European Union. Glob. Environ. Change 44, 145–155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C.-L. J.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sectPr w:rsidR="00FC693F" w:rsidRPr="0006063C" w:rsidSect="00034616">
      <w:footerReference w:type="default" r:id="rId12"/>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