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Supplementary Note 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verification rule violations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0" w:before="0" w:line="480" w:lineRule="auto"/>
        <w:ind w:firstLine="432"/>
        <w:jc w:val="both"/>
      </w:pPr>
      <w:r>
        <w:rPr>
          <w:rFonts w:ascii="Times New Roman" w:hAnsi="Times New Roman" w:eastAsia="Times New Roman"/>
          <w:b w:val="0"/>
          <w:i w:val="0"/>
          <w:sz w:val="22"/>
        </w:rPr>
        <w:t>A third rule, V3 (inaction under extreme threat with adequate coping), was tested but yielded zero violations across all twelve conditions (six models × two governance states). This null result reflects the rarity of very-high (VH) threat appraisals: ungoverned agents express threat through hedged language rather than extreme categorical labels, and the few governed agents receiving VH appraisals consistently selected protective actions. V3 is omitted from Supplementary Table 1.</w:t>
      </w:r>
    </w:p>
    <w:p>
      <w:pPr>
        <w:spacing w:after="0" w:before="0" w:line="480" w:lineRule="auto"/>
        <w:ind w:firstLine="432"/>
        <w:jc w:val="both"/>
      </w:pPr>
      <w:r>
        <w:rPr>
          <w:rFonts w:ascii="Times New Roman" w:hAnsi="Times New Roman" w:eastAsia="Times New Roman"/>
          <w:b w:val="0"/>
          <w:i w:val="0"/>
          <w:sz w:val="22"/>
        </w:rPr>
        <w:t>For ungoverned agents (Group A),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(Group C), structured labels are emitted directly by the governance pipeline. Group A uses a relaxed low-threat threshold {L, VL, M} to account for classification uncertainty; Group C uses the strict threshold {L, VL}.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 IBR decomposition across six language models (flood domain, 100 agents × 10 years, 3 runs per condition). Values are means ± s.d. across seeds.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Model</w:t>
            </w:r>
          </w:p>
        </w:tc>
        <w:tc>
          <w:tcPr>
            <w:tcW w:type="dxa" w:w="1560"/>
            <w:shd w:fill="E8E8E8" w:val="clear"/>
          </w:tcPr>
          <w:p>
            <w:pPr>
              <w:spacing w:after="0" w:before="0" w:line="240" w:lineRule="auto"/>
              <w:jc w:val="center"/>
            </w:pPr>
            <w:r/>
            <w:r>
              <w:rPr>
                <w:rFonts w:ascii="Times New Roman" w:hAnsi="Times New Roman" w:eastAsia="Times New Roman"/>
                <w:b/>
                <w:i w:val="0"/>
                <w:sz w:val="18"/>
              </w:rPr>
              <w:t>Condition</w:t>
            </w:r>
          </w:p>
        </w:tc>
        <w:tc>
          <w:tcPr>
            <w:tcW w:type="dxa" w:w="1560"/>
            <w:shd w:fill="E8E8E8" w:val="clear"/>
          </w:tcPr>
          <w:p>
            <w:pPr>
              <w:spacing w:after="0" w:before="0" w:line="240" w:lineRule="auto"/>
              <w:jc w:val="center"/>
            </w:pPr>
            <w:r/>
            <w:r>
              <w:rPr>
                <w:rFonts w:ascii="Times New Roman" w:hAnsi="Times New Roman" w:eastAsia="Times New Roman"/>
                <w:b/>
                <w:i w:val="0"/>
                <w:sz w:val="18"/>
              </w:rPr>
              <w:t>R_H (%)</w:t>
            </w:r>
          </w:p>
        </w:tc>
        <w:tc>
          <w:tcPr>
            <w:tcW w:type="dxa" w:w="1560"/>
            <w:shd w:fill="E8E8E8" w:val="clear"/>
          </w:tcPr>
          <w:p>
            <w:pPr>
              <w:spacing w:after="0" w:before="0" w:line="240" w:lineRule="auto"/>
              <w:jc w:val="center"/>
            </w:pPr>
            <w:r/>
            <w:r>
              <w:rPr>
                <w:rFonts w:ascii="Times New Roman" w:hAnsi="Times New Roman" w:eastAsia="Times New Roman"/>
                <w:b/>
                <w:i w:val="0"/>
                <w:sz w:val="18"/>
              </w:rPr>
              <w:t>V1</w:t>
            </w:r>
          </w:p>
        </w:tc>
        <w:tc>
          <w:tcPr>
            <w:tcW w:type="dxa" w:w="1560"/>
            <w:shd w:fill="E8E8E8" w:val="clear"/>
          </w:tcPr>
          <w:p>
            <w:pPr>
              <w:spacing w:after="0" w:before="0" w:line="240" w:lineRule="auto"/>
              <w:jc w:val="center"/>
            </w:pPr>
            <w:r/>
            <w:r>
              <w:rPr>
                <w:rFonts w:ascii="Times New Roman" w:hAnsi="Times New Roman" w:eastAsia="Times New Roman"/>
                <w:b/>
                <w:i w:val="0"/>
                <w:sz w:val="18"/>
              </w:rPr>
              <w:t>V2</w:t>
            </w:r>
          </w:p>
        </w:tc>
        <w:tc>
          <w:tcPr>
            <w:tcW w:type="dxa" w:w="1560"/>
            <w:shd w:fill="E8E8E8" w:val="clear"/>
          </w:tcPr>
          <w:p>
            <w:pPr>
              <w:spacing w:after="0" w:before="0" w:line="240" w:lineRule="auto"/>
              <w:jc w:val="center"/>
            </w:pPr>
            <w:r/>
            <w:r>
              <w:rPr>
                <w:rFonts w:ascii="Times New Roman" w:hAnsi="Times New Roman" w:eastAsia="Times New Roman"/>
                <w:b/>
                <w:i w:val="0"/>
                <w:sz w:val="18"/>
              </w:rPr>
              <w:t>Strategy diversity</w:t>
            </w:r>
          </w:p>
        </w:tc>
      </w:tr>
      <w:tr>
        <w:tc>
          <w:tcPr>
            <w:tcW w:type="dxa" w:w="1560"/>
          </w:tcPr>
          <w:p>
            <w:pPr>
              <w:spacing w:after="0" w:before="0" w:line="240" w:lineRule="auto"/>
              <w:jc w:val="left"/>
            </w:pPr>
            <w:r/>
            <w:r>
              <w:rPr>
                <w:rFonts w:ascii="Times New Roman" w:hAnsi="Times New Roman" w:eastAsia="Times New Roman"/>
                <w:b w:val="0"/>
                <w:i w:val="0"/>
                <w:sz w:val="18"/>
              </w:rPr>
              <w:t>Gemma-3 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1.15 ± 0.17</w:t>
            </w:r>
          </w:p>
        </w:tc>
        <w:tc>
          <w:tcPr>
            <w:tcW w:type="dxa" w:w="1560"/>
          </w:tcPr>
          <w:p>
            <w:pPr>
              <w:spacing w:after="0" w:before="0" w:line="240" w:lineRule="auto"/>
              <w:jc w:val="center"/>
            </w:pPr>
            <w:r/>
            <w:r>
              <w:rPr>
                <w:rFonts w:ascii="Times New Roman" w:hAnsi="Times New Roman" w:eastAsia="Times New Roman"/>
                <w:b w:val="0"/>
                <w:i w:val="0"/>
                <w:sz w:val="18"/>
              </w:rPr>
              <w:t>0.3</w:t>
            </w:r>
          </w:p>
        </w:tc>
        <w:tc>
          <w:tcPr>
            <w:tcW w:type="dxa" w:w="1560"/>
          </w:tcPr>
          <w:p>
            <w:pPr>
              <w:spacing w:after="0" w:before="0" w:line="240" w:lineRule="auto"/>
              <w:jc w:val="center"/>
            </w:pPr>
            <w:r/>
            <w:r>
              <w:rPr>
                <w:rFonts w:ascii="Times New Roman" w:hAnsi="Times New Roman" w:eastAsia="Times New Roman"/>
                <w:b w:val="0"/>
                <w:i w:val="0"/>
                <w:sz w:val="18"/>
              </w:rPr>
              <w:t>10.0</w:t>
            </w:r>
          </w:p>
        </w:tc>
        <w:tc>
          <w:tcPr>
            <w:tcW w:type="dxa" w:w="1560"/>
          </w:tcPr>
          <w:p>
            <w:pPr>
              <w:spacing w:after="0" w:before="0" w:line="240" w:lineRule="auto"/>
              <w:jc w:val="center"/>
            </w:pPr>
            <w:r/>
            <w:r>
              <w:rPr>
                <w:rFonts w:ascii="Times New Roman" w:hAnsi="Times New Roman" w:eastAsia="Times New Roman"/>
                <w:b w:val="0"/>
                <w:i w:val="0"/>
                <w:sz w:val="18"/>
              </w:rPr>
              <w:t>0.307 ± 0.059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0.86 ± 0.44</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0.636 ± 0.044</w:t>
            </w:r>
          </w:p>
        </w:tc>
      </w:tr>
      <w:tr>
        <w:tc>
          <w:tcPr>
            <w:tcW w:type="dxa" w:w="1560"/>
          </w:tcPr>
          <w:p>
            <w:pPr>
              <w:spacing w:after="0" w:before="0" w:line="240" w:lineRule="auto"/>
              <w:jc w:val="left"/>
            </w:pPr>
            <w:r/>
            <w:r>
              <w:rPr>
                <w:rFonts w:ascii="Times New Roman" w:hAnsi="Times New Roman" w:eastAsia="Times New Roman"/>
                <w:b w:val="0"/>
                <w:i w:val="0"/>
                <w:sz w:val="18"/>
              </w:rPr>
              <w:t>Gemma-3 12B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3.35 ± 0.13</w:t>
            </w:r>
          </w:p>
        </w:tc>
        <w:tc>
          <w:tcPr>
            <w:tcW w:type="dxa" w:w="1560"/>
          </w:tcPr>
          <w:p>
            <w:pPr>
              <w:spacing w:after="0" w:before="0" w:line="240" w:lineRule="auto"/>
              <w:jc w:val="center"/>
            </w:pPr>
            <w:r/>
            <w:r>
              <w:rPr>
                <w:rFonts w:ascii="Times New Roman" w:hAnsi="Times New Roman" w:eastAsia="Times New Roman"/>
                <w:b w:val="0"/>
                <w:i w:val="0"/>
                <w:sz w:val="18"/>
              </w:rPr>
              <w:t>0.7</w:t>
            </w:r>
          </w:p>
        </w:tc>
        <w:tc>
          <w:tcPr>
            <w:tcW w:type="dxa" w:w="1560"/>
          </w:tcPr>
          <w:p>
            <w:pPr>
              <w:spacing w:after="0" w:before="0" w:line="240" w:lineRule="auto"/>
              <w:jc w:val="center"/>
            </w:pPr>
            <w:r/>
            <w:r>
              <w:rPr>
                <w:rFonts w:ascii="Times New Roman" w:hAnsi="Times New Roman" w:eastAsia="Times New Roman"/>
                <w:b w:val="0"/>
                <w:i w:val="0"/>
                <w:sz w:val="18"/>
              </w:rPr>
              <w:t>29.3</w:t>
            </w:r>
          </w:p>
        </w:tc>
        <w:tc>
          <w:tcPr>
            <w:tcW w:type="dxa" w:w="1560"/>
          </w:tcPr>
          <w:p>
            <w:pPr>
              <w:spacing w:after="0" w:before="0" w:line="240" w:lineRule="auto"/>
              <w:jc w:val="center"/>
            </w:pPr>
            <w:r/>
            <w:r>
              <w:rPr>
                <w:rFonts w:ascii="Times New Roman" w:hAnsi="Times New Roman" w:eastAsia="Times New Roman"/>
                <w:b w:val="0"/>
                <w:i w:val="0"/>
                <w:sz w:val="18"/>
              </w:rPr>
              <w:t>0.282 ± 0.012</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0.15 ± 0.07</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1.3</w:t>
            </w:r>
          </w:p>
        </w:tc>
        <w:tc>
          <w:tcPr>
            <w:tcW w:type="dxa" w:w="1560"/>
          </w:tcPr>
          <w:p>
            <w:pPr>
              <w:spacing w:after="0" w:before="0" w:line="240" w:lineRule="auto"/>
              <w:jc w:val="center"/>
            </w:pPr>
            <w:r/>
            <w:r>
              <w:rPr>
                <w:rFonts w:ascii="Times New Roman" w:hAnsi="Times New Roman" w:eastAsia="Times New Roman"/>
                <w:b w:val="0"/>
                <w:i w:val="0"/>
                <w:sz w:val="18"/>
              </w:rPr>
              <w:t>0.310 ± 0.048</w:t>
            </w:r>
          </w:p>
        </w:tc>
      </w:tr>
      <w:tr>
        <w:tc>
          <w:tcPr>
            <w:tcW w:type="dxa" w:w="1560"/>
          </w:tcPr>
          <w:p>
            <w:pPr>
              <w:spacing w:after="0" w:before="0" w:line="240" w:lineRule="auto"/>
              <w:jc w:val="left"/>
            </w:pPr>
            <w:r/>
            <w:r>
              <w:rPr>
                <w:rFonts w:ascii="Times New Roman" w:hAnsi="Times New Roman" w:eastAsia="Times New Roman"/>
                <w:b w:val="0"/>
                <w:i w:val="0"/>
                <w:sz w:val="18"/>
              </w:rPr>
              <w:t>Gemma-3 27B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0.78 ± 0.38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7.0</w:t>
            </w:r>
          </w:p>
        </w:tc>
        <w:tc>
          <w:tcPr>
            <w:tcW w:type="dxa" w:w="1560"/>
          </w:tcPr>
          <w:p>
            <w:pPr>
              <w:spacing w:after="0" w:before="0" w:line="240" w:lineRule="auto"/>
              <w:jc w:val="center"/>
            </w:pPr>
            <w:r/>
            <w:r>
              <w:rPr>
                <w:rFonts w:ascii="Times New Roman" w:hAnsi="Times New Roman" w:eastAsia="Times New Roman"/>
                <w:b w:val="0"/>
                <w:i w:val="0"/>
                <w:sz w:val="18"/>
              </w:rPr>
              <w:t>0.322 ± 0.020</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0.33 ± 0.00</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0.496 ± 0.051</w:t>
            </w:r>
          </w:p>
        </w:tc>
      </w:tr>
      <w:tr>
        <w:tc>
          <w:tcPr>
            <w:tcW w:type="dxa" w:w="1560"/>
          </w:tcPr>
          <w:p>
            <w:pPr>
              <w:spacing w:after="0" w:before="0" w:line="240" w:lineRule="auto"/>
              <w:jc w:val="left"/>
            </w:pPr>
            <w:r/>
            <w:r>
              <w:rPr>
                <w:rFonts w:ascii="Times New Roman" w:hAnsi="Times New Roman" w:eastAsia="Times New Roman"/>
                <w:b w:val="0"/>
                <w:i w:val="0"/>
                <w:sz w:val="18"/>
              </w:rPr>
              <w:t>Ministral 3B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8.89 ± 1.24</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76.7</w:t>
            </w:r>
          </w:p>
        </w:tc>
        <w:tc>
          <w:tcPr>
            <w:tcW w:type="dxa" w:w="1560"/>
          </w:tcPr>
          <w:p>
            <w:pPr>
              <w:spacing w:after="0" w:before="0" w:line="240" w:lineRule="auto"/>
              <w:jc w:val="center"/>
            </w:pPr>
            <w:r/>
            <w:r>
              <w:rPr>
                <w:rFonts w:ascii="Times New Roman" w:hAnsi="Times New Roman" w:eastAsia="Times New Roman"/>
                <w:b w:val="0"/>
                <w:i w:val="0"/>
                <w:sz w:val="18"/>
              </w:rPr>
              <w:t>0.373 ± 0.061</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1.70 ± 0.26</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10.7</w:t>
            </w:r>
          </w:p>
        </w:tc>
        <w:tc>
          <w:tcPr>
            <w:tcW w:type="dxa" w:w="1560"/>
          </w:tcPr>
          <w:p>
            <w:pPr>
              <w:spacing w:after="0" w:before="0" w:line="240" w:lineRule="auto"/>
              <w:jc w:val="center"/>
            </w:pPr>
            <w:r/>
            <w:r>
              <w:rPr>
                <w:rFonts w:ascii="Times New Roman" w:hAnsi="Times New Roman" w:eastAsia="Times New Roman"/>
                <w:b w:val="0"/>
                <w:i w:val="0"/>
                <w:sz w:val="18"/>
              </w:rPr>
              <w:t>0.571 ± 0.047</w:t>
            </w:r>
          </w:p>
        </w:tc>
      </w:tr>
      <w:tr>
        <w:tc>
          <w:tcPr>
            <w:tcW w:type="dxa" w:w="1560"/>
          </w:tcPr>
          <w:p>
            <w:pPr>
              <w:spacing w:after="0" w:before="0" w:line="240" w:lineRule="auto"/>
              <w:jc w:val="left"/>
            </w:pPr>
            <w:r/>
            <w:r>
              <w:rPr>
                <w:rFonts w:ascii="Times New Roman" w:hAnsi="Times New Roman" w:eastAsia="Times New Roman"/>
                <w:b w:val="0"/>
                <w:i w:val="0"/>
                <w:sz w:val="18"/>
              </w:rPr>
              <w:t>Ministral 8B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1.56 ± 0.00</w:t>
            </w:r>
          </w:p>
        </w:tc>
        <w:tc>
          <w:tcPr>
            <w:tcW w:type="dxa" w:w="1560"/>
          </w:tcPr>
          <w:p>
            <w:pPr>
              <w:spacing w:after="0" w:before="0" w:line="240" w:lineRule="auto"/>
              <w:jc w:val="center"/>
            </w:pPr>
            <w:r/>
            <w:r>
              <w:rPr>
                <w:rFonts w:ascii="Times New Roman" w:hAnsi="Times New Roman" w:eastAsia="Times New Roman"/>
                <w:b w:val="0"/>
                <w:i w:val="0"/>
                <w:sz w:val="18"/>
              </w:rPr>
              <w:t>2.7</w:t>
            </w:r>
          </w:p>
        </w:tc>
        <w:tc>
          <w:tcPr>
            <w:tcW w:type="dxa" w:w="1560"/>
          </w:tcPr>
          <w:p>
            <w:pPr>
              <w:spacing w:after="0" w:before="0" w:line="240" w:lineRule="auto"/>
              <w:jc w:val="center"/>
            </w:pPr>
            <w:r/>
            <w:r>
              <w:rPr>
                <w:rFonts w:ascii="Times New Roman" w:hAnsi="Times New Roman" w:eastAsia="Times New Roman"/>
                <w:b w:val="0"/>
                <w:i w:val="0"/>
                <w:sz w:val="18"/>
              </w:rPr>
              <w:t>11.3</w:t>
            </w:r>
          </w:p>
        </w:tc>
        <w:tc>
          <w:tcPr>
            <w:tcW w:type="dxa" w:w="1560"/>
          </w:tcPr>
          <w:p>
            <w:pPr>
              <w:spacing w:after="0" w:before="0" w:line="240" w:lineRule="auto"/>
              <w:jc w:val="center"/>
            </w:pPr>
            <w:r/>
            <w:r>
              <w:rPr>
                <w:rFonts w:ascii="Times New Roman" w:hAnsi="Times New Roman" w:eastAsia="Times New Roman"/>
                <w:b w:val="0"/>
                <w:i w:val="0"/>
                <w:sz w:val="18"/>
              </w:rPr>
              <w:t>0.555 ± 0.009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0.13 ± 0.13</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0.531 ± 0.028</w:t>
            </w:r>
          </w:p>
        </w:tc>
      </w:tr>
      <w:tr>
        <w:tc>
          <w:tcPr>
            <w:tcW w:type="dxa" w:w="1560"/>
          </w:tcPr>
          <w:p>
            <w:pPr>
              <w:spacing w:after="0" w:before="0" w:line="240" w:lineRule="auto"/>
              <w:jc w:val="left"/>
            </w:pPr>
            <w:r/>
            <w:r>
              <w:rPr>
                <w:rFonts w:ascii="Times New Roman" w:hAnsi="Times New Roman" w:eastAsia="Times New Roman"/>
                <w:b w:val="0"/>
                <w:i w:val="0"/>
                <w:sz w:val="18"/>
              </w:rPr>
              <w:t>Ministral 14B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11.61 ± 0.58</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97.0</w:t>
            </w:r>
          </w:p>
        </w:tc>
        <w:tc>
          <w:tcPr>
            <w:tcW w:type="dxa" w:w="1560"/>
          </w:tcPr>
          <w:p>
            <w:pPr>
              <w:spacing w:after="0" w:before="0" w:line="240" w:lineRule="auto"/>
              <w:jc w:val="center"/>
            </w:pPr>
            <w:r/>
            <w:r>
              <w:rPr>
                <w:rFonts w:ascii="Times New Roman" w:hAnsi="Times New Roman" w:eastAsia="Times New Roman"/>
                <w:b w:val="0"/>
                <w:i w:val="0"/>
                <w:sz w:val="18"/>
              </w:rPr>
              <w:t>0.572 ± 0.018</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0.40 ± 0.18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3.3</w:t>
            </w:r>
          </w:p>
        </w:tc>
        <w:tc>
          <w:tcPr>
            <w:tcW w:type="dxa" w:w="1560"/>
          </w:tcPr>
          <w:p>
            <w:pPr>
              <w:spacing w:after="0" w:before="0" w:line="240" w:lineRule="auto"/>
              <w:jc w:val="center"/>
            </w:pPr>
            <w:r/>
            <w:r>
              <w:rPr>
                <w:rFonts w:ascii="Times New Roman" w:hAnsi="Times New Roman" w:eastAsia="Times New Roman"/>
                <w:b w:val="0"/>
                <w:i w:val="0"/>
                <w:sz w:val="18"/>
              </w:rPr>
              <w:t>0.605 ± 0.011</w:t>
            </w:r>
          </w:p>
        </w:tc>
      </w:tr>
    </w:tbl>
    <w:p>
      <w:pPr>
        <w:spacing w:after="160" w:before="40" w:line="480" w:lineRule="auto"/>
        <w:jc w:val="both"/>
      </w:pPr>
      <w:r>
        <w:rPr>
          <w:rFonts w:ascii="Times New Roman" w:hAnsi="Times New Roman" w:eastAsia="Times New Roman"/>
          <w:b w:val="0"/>
          <w:i/>
          <w:sz w:val="18"/>
        </w:rPr>
        <w:t>V1/V2 counts are per-run means (3-run average). R_H% = (V1 + V2) / N_active × 100. Post-relocation agent-years excluded from N_active. Strategy diversity = normalized Shannon entropy H/log₂(k) (0 = monoculture; 1 = uniform).</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2. Governance effect on IBR (paired difference, A minus C).</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95% CIs from paired t-distribution (df = 2). For Gemma-3 4B and 27B, the small A–C difference relative to between-run variance yields non-significant p-values; however, the direction of the effect (A &gt; C)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group labels.</w:t>
      </w:r>
      <w:r>
        <w:rPr>
          <w:rFonts w:ascii="Times New Roman" w:hAnsi="Times New Roman" w:eastAsia="Times New Roman"/>
          <w:b w:val="0"/>
          <w:i w:val="0"/>
          <w:sz w:val="22"/>
        </w:rPr>
        <w:t xml:space="preserve"> The cross-model comparison (Tables 3, S1) uses Group C (governed + HumanCentric memory) as the governed condition because Groups A and C were run for all six models, whereas Group B (governed, window memory only) was run only for Gemma-3 4B. For Gemma-3 4B, Groups B and C produced identical strategy diversity (0.636 ± 0.044; Table 2 reports Group B). The governance effect in both groups is attributable to the validator pipeline, which is identical across Groups B and C;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strategy diversity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Supplementary Note 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3. Governed vs. ungoverned paired reasoning traces (irrigation domain, seed 42).</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Supplementary Table 4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4. Within-governed reasoning heterogeneity under identical conditions (irrigation domain).</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5. Taxonomy of cognitive frames observed in governed irrigation agents.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Supplementary Note 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strategy diversity: 0.761 ± 0.020</w:t>
      </w:r>
    </w:p>
    <w:p>
      <w:pPr>
        <w:spacing w:after="40" w:before="40" w:line="480" w:lineRule="auto"/>
        <w:ind w:left="720"/>
        <w:jc w:val="both"/>
      </w:pPr>
      <w:r>
        <w:rPr>
          <w:rFonts w:ascii="Times New Roman" w:hAnsi="Times New Roman" w:eastAsia="Times New Roman"/>
          <w:b w:val="0"/>
          <w:i w:val="0"/>
          <w:sz w:val="22"/>
        </w:rPr>
        <w:t>• Ungoverned first-attempt strategy diversity: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diversity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Supplementary Note 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Supplementary Table 1 for per-model IBR decomposition.</w:t>
      </w:r>
    </w:p>
    <w:p>
      <w:pPr>
        <w:spacing w:after="120" w:before="360" w:line="480" w:lineRule="auto"/>
        <w:jc w:val="left"/>
      </w:pPr>
      <w:r>
        <w:rPr>
          <w:rFonts w:ascii="Times New Roman" w:hAnsi="Times New Roman" w:eastAsia="Times New Roman"/>
          <w:b/>
          <w:i w:val="0"/>
          <w:sz w:val="24"/>
        </w:rPr>
        <w:t>Supplementary Note 5. Insurance Premium Doubling Sensitivity</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strategy diversity (premium doubled): 0.797 ± 0.018</w:t>
      </w:r>
    </w:p>
    <w:p>
      <w:pPr>
        <w:spacing w:after="40" w:before="40" w:line="480" w:lineRule="auto"/>
        <w:ind w:left="720"/>
        <w:jc w:val="both"/>
      </w:pPr>
      <w:r>
        <w:rPr>
          <w:rFonts w:ascii="Times New Roman" w:hAnsi="Times New Roman" w:eastAsia="Times New Roman"/>
          <w:b w:val="0"/>
          <w:i w:val="0"/>
          <w:sz w:val="22"/>
        </w:rPr>
        <w:t>• Governed strategy diversity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strategy diversity exceeded ungoverned for the same model (Table 3).</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diversity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Supplementary Note 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6. Supplementary water-system outcomes (irrigation domain, Gemma-3 4B, 78 agents × 42 years, 3 runs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Shortage-threshold crossings (of 42 yr)</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w:t>
      </w:r>
    </w:p>
    <w:p>
      <w:pPr>
        <w:spacing w:after="120" w:before="360" w:line="480" w:lineRule="auto"/>
        <w:jc w:val="left"/>
      </w:pPr>
      <w:r>
        <w:rPr>
          <w:rFonts w:ascii="Times New Roman" w:hAnsi="Times New Roman" w:eastAsia="Times New Roman"/>
          <w:b/>
          <w:i w:val="0"/>
          <w:sz w:val="24"/>
        </w:rPr>
        <w:t>Supplementary Note 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A1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Supplementary Note 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Supplementary Note 9. Statistical Methods</w:t>
      </w:r>
    </w:p>
    <w:p>
      <w:pPr>
        <w:spacing w:after="80" w:before="240" w:line="480" w:lineRule="auto"/>
        <w:jc w:val="left"/>
      </w:pPr>
      <w:r>
        <w:rPr>
          <w:rFonts w:ascii="Times New Roman" w:hAnsi="Times New Roman" w:eastAsia="Times New Roman"/>
          <w:b/>
          <w:i/>
          <w:sz w:val="22"/>
        </w:rPr>
        <w:t>Strategy Diversity</w:t>
      </w:r>
    </w:p>
    <w:p>
      <w:pPr>
        <w:spacing w:after="0" w:before="0" w:line="480" w:lineRule="auto"/>
        <w:ind w:firstLine="432"/>
        <w:jc w:val="both"/>
      </w:pPr>
      <w:r>
        <w:rPr>
          <w:rFonts w:ascii="Times New Roman" w:hAnsi="Times New Roman" w:eastAsia="Times New Roman"/>
          <w:b w:val="0"/>
          <w:i w:val="0"/>
          <w:sz w:val="22"/>
        </w:rPr>
        <w:t>We quantified strategy diversity using normalized Shannon entropy (Shannon, 1948):</w:t>
      </w:r>
    </w:p>
    <w:p>
      <w:pPr>
        <w:spacing w:after="0" w:before="0" w:line="480" w:lineRule="auto"/>
        <w:ind w:firstLine="432"/>
        <w:jc w:val="both"/>
      </w:pPr>
      <w:r>
        <w:rPr>
          <w:rFonts w:ascii="Times New Roman" w:hAnsi="Times New Roman" w:eastAsia="Times New Roman"/>
          <w:b w:val="0"/>
          <w:i w:val="0"/>
          <w:sz w:val="22"/>
        </w:rPr>
        <w:t>$$\text{Strategy diversity} = -\frac{1}{\log_2 k} \sum_{i=1}^{k} p_i \log_2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$\log_2 k$ ensures a range of [0, 1], with 0 indicating behavioural monoculture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strategy diversity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(Table 3: Δ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(Table 3), with one (Ministral 8B) showing a small negative effect (Δ = −0.024). The magnitude of positive effects varied by over an order of magnitude. Under alternative composite-action normalizations (Supplementary Table 7), some models show reversed effects, underscoring that the direction depends on specification choice for models with high composite rates.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7. Strategy diversity sensitivity to composite-action normalization specification (flood domain, 100 agents × 10 years, 3 runs per condition).</w:t>
      </w:r>
      <w:r>
        <w:rPr>
          <w:rFonts w:ascii="Times New Roman" w:hAnsi="Times New Roman" w:eastAsia="Times New Roman"/>
          <w:b w:val="0"/>
          <w:i w:val="0"/>
          <w:sz w:val="22"/>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strategy diversity.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Supplementary Note 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(Supplementary Note 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Supplementary Note 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8. Water-system outcomes: LLM governed vs FQL baseline (irrigation domain, 78 agents × 42 years, 3 seeds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Strategy diversity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