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System Boundary and Broker Pipeline</ns0:t>
      </ns0:r>
    </ns0:p>
    <ns0:p ns2:paraId="04EC5DDC" ns2:textId="77777777" ns0:rsidR="00F803C3" ns0:rsidRDefault="00000000">
      <ns0:pPr>
        <ns0:spacing ns0:after="120" ns0:line="480" ns0:lineRule="auto"/>
        <ns0:ind ns0:firstLine="360"/>
        <ns0:jc ns0:val="both"/>
      </ns0:pPr>
      <ns0:r>
        <ns0: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ns0:t>
      </ns0:r>
    </ns0:p>
    <ns0:p ns2:paraId="7AD963E9" ns2:textId="77777777" ns0:rsidR="00F803C3" ns0:rsidRDefault="00000000">
      <ns0:pPr>
        <ns0:spacing ns0:after="120" ns0:line="480" ns0:lineRule="auto"/>
        <ns0:ind ns0:firstLine="360"/>
        <ns0:jc ns0:val="both"/>
      </ns0:pPr>
      <ns0:r>
        <ns0: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ns0:t>
      </ns0:r>
    </ns0:p>
    <ns0:p ns2:paraId="00DADB2F" ns2:textId="77777777" ns0:rsidR="00F803C3" ns0:rsidRDefault="00000000">
      <ns0:pPr>
        <ns0:spacing ns0:after="120" ns0:line="480" ns0:lineRule="auto"/>
        <ns0:ind ns0:firstLine="360"/>
        <ns0:jc ns0:val="both"/>
      </ns0:pPr>
      <ns0:r>
        <ns0: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ns0:t>
      </ns0:r>
    </ns0:p>
    <ns0:p ns2:paraId="67173F29" ns2:textId="77777777" ns0:rsidR="00F803C3" ns0:rsidRDefault="00000000">
      <ns0:pPr>
        <ns0:spacing ns0:after="120" ns0:line="480" ns0:lineRule="auto"/>
        <ns0:ind ns0:firstLine="360"/>
        <ns0:jc ns0:val="both"/>
      </ns0:pPr>
      <ns0:r>
        <ns0:t>This sequence translates LLM proposals into executable actions under explicit constraints and full traceability.</ns0:t>
      </ns0:r>
    </ns0:p>
    <ns0:p ns2:paraId="01DF04BB" ns2:textId="77777777" ns0:rsidR="00F803C3" ns0:rsidRDefault="00000000">
      <ns0:pPr>
        <ns0:pStyle ns0:val="2"/>
        <ns0:spacing ns0:line="480" ns0:lineRule="auto"/>
      </ns0:pPr>
      <ns0:r>
        <ns0:t>2.2 Cross-Cutting Governance Components</ns0:t>
      </ns0:r>
    </ns0:p>
    <ns0:p ns2:paraId="63C52A09" ns2:textId="77777777" ns0:rsidR="00F803C3" ns0:rsidRDefault="00000000">
      <ns0:pPr>
        <ns0:spacing ns0:after="120" ns0:line="480" ns0:lineRule="auto"/>
        <ns0:ind ns0:firstLine="360"/>
        <ns0:jc ns0:val="both"/>
      </ns0:pPr>
      <ns0:r>
        <ns0: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r>
        <ns0:t>This separation avoids conflating physically or institutionally infeasible behavior with boundedly rational but feasible behavior.</ns0:t>
      </ns0:r>
    </ns0:p>
    <ns0:p ns2:paraId="45B87EC9" ns2:textId="77777777" ns0:rsidR="00F803C3" ns0:rsidRDefault="00000000">
      <ns0:pPr>
        <ns0:spacing ns0:before="120" ns0:after="120" ns0:line="480" ns0:lineRule="auto"/>
        <ns0:jc ns0:val="center"/>
      </ns0:pPr>
      <ns0:r>
        <ns0:t>R_H = n_id / n_total          (1)</ns0:t>
      </ns0:r>
    </ns0:p>
    <ns0:p ns2:paraId="51E4AFA6" ns2:textId="77777777" ns0:rsidR="00F803C3" ns0:rsidRDefault="00000000">
      <ns0:pPr>
        <ns0:spacing ns0:after="120" ns0:line="480" ns0:lineRule="auto"/>
        <ns0:jc ns0:val="both"/>
      </ns0:pPr>
      <ns0:r>
        <ns0:t>R_R = n_think / n_total          (2)</ns0:t>
      </ns0:r>
    </ns0:p>
    <ns0:p ns2:paraId="4D3349D9" ns2:textId="77777777" ns0:rsidR="00F803C3" ns0:rsidRDefault="00000000">
      <ns0:pPr>
        <ns0:spacing ns0:before="120" ns0:after="120" ns0:line="480" ns0:lineRule="auto"/>
        <ns0:jc ns0:val="center"/>
      </ns0:pPr>
      <ns0:r>
        <ns0:t>R_H is the feasibility hallucination rate (identity-rule ERROR rejections), while R_R is the rationality-deviation rate (thinking-rule ERROR rejections). We define Effective Behavioral Entropy (EBE) as diversity adjusted by feasibility hallucination burden only: EBE = H_norm * (1 - R_H), with H_norm = H / log2(k) and H = -sum_i p_i log2(p_i)          (3)</ns0:t>
      </ns0:r>
    </ns0:p>
    <ns0:p ns2:paraId="43A4DBCE" ns2:textId="77777777" ns0:rsidR="00F803C3" ns0:rsidRDefault="00000000">
      <ns0:pPr>
        <ns0:spacing ns0:after="120" ns0:line="480" ns0:lineRule="auto"/>
        <ns0:jc ns0:val="both"/>
      </ns0:pPr>
      <ns0:r>
        <ns0: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Feasibility Hallucination and Rationality Diagnostics</ns0:t>
      </ns0:r>
    </ns0:p>
    <ns0:p ns2:paraId="614B0196" ns2:textId="77777777" ns0:rsidR="00F803C3" ns0:rsidRDefault="00000000">
      <ns0:pPr>
        <ns0:spacing ns0:after="120" ns0:line="480" ns0:lineRule="auto"/>
        <ns0:ind ns0:firstLine="360"/>
        <ns0:jc ns0:val="both"/>
      </ns0:pPr>
      <ns0:r>
        <ns0:t>We separate validation outcomes into feasibility hallucination and rationality deviation. Feasibility hallucination is evaluated with identity-rule checks against prior state: proposing elevation for an already elevated home, proposing insurance for an already insured household, or proposing composite actions with already-completed components. Thinking-rule failures are tracked as rationality deviations (R_R) rather than hallucinations. Year 1 is excluded because no prior state exists.</ns0:t>
      </ns0:r>
    </ns0:p>
    <ns0:p ns2:paraId="1588D2D4" ns2:textId="77777777" ns0:rsidR="00F803C3" ns0:rsidRDefault="1937EF80">
      <ns0:pPr>
        <ns0:spacing ns0:after="120" ns0:line="480" ns0:lineRule="auto"/>
        <ns0:ind ns0:firstLine="360"/>
        <ns0:jc ns0:val="both"/>
      </ns0:pPr>
      <ns0:r>
        <ns0:t>Using this definition, Group A exhibits a mean feasibility hallucination rate R_H of 20.84% across years 2-10, driven by redundant or infeasible proposals. Group B reduces R_H to 0.58% through governance intervention, while Group C yields 2.80% with governance plus human-centric memory. R_R is treated as a complementary coherence diagnostic derived from thinking-rule ERROR traces.</ns0:t>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t>Figure 2 presents the key results. Ungoverned agents (Group A) show high raw entropy (mean H_norm = 0.664) that appears to indicate rich behavioral diversity, but EBE shows this diversity is feasibility-inflated: mean EBE = 0.526 (Equation 3). Governed agents maintain higher effective diversity (Group B: EBE = 0.785, Group C: EBE = 0.782) despite lower raw entropy, because identity-rule feasibility is enforced. By construction, EBE is adjusted by R_H and not by R_R.</ns0:t>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t>Pairwise tests (Mann-Whitney U): R_H: A vs B: U=92, p=0.002, d=2.47; A vs C: U=92.5, p=0.001, d=3.29. EBE: A vs B: U=22, p=0.038, d=0.61; A vs C: U=25, p=0.064, d=1.10. Omnibus R_H: KW=14.75, p&lt;0.001, eta=0.47; Omnibus EBE: KW=5.44, p=0.066. R_R is reported as a complementary audit-based coherence diagnostic and is not included in Equation (3).</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t>To demonstrate domain transferability, we apply WAGF to irrigation demand management in the Colorado River Basin without modifying broker architecture. We instantiate a domain configuration following Hung and Yang (2021): 78 irrigation districts mapped one-to-one to CRSS diversion nodes (56 Upper Basin, 22 Lower Basin), simulated over 42 years (2019-2060) with CRSS precipitation projections (USBR, 2012). Three behavioral clusters from Farmer Q-Learning calibration (Aggressive, Forward-Looking Conservative, Myopic Conservative) are mapped to LLM persona templates encoding risk attitude and demand-adjustment tendency (Yang et al., 2009; Hadjimichael et al., 2020). Across flood and irrigation, the framework changes only in YAML-level artifacts: skill definitions, validator rules, appraisal constructs, and persona templates.</ns0:t>
      </ns0:r>
    </ns0:p>
    <ns0:p ns2:paraId="5F65BAD8" ns2:textId="77777777" ns0:rsidR="CF7DCF98" ns0:rsidRDefault="CF7DCF98" ns0:rsidP="CF7DCF98">
      <ns0:pPr>
        <ns0:spacing ns0:after="120" ns0:line="480" ns0:lineRule="auto"/>
        <ns0:ind ns0:firstLine="360"/>
        <ns0:jc ns0:val="both"/>
      </ns0:pPr>
      <ns0:r>
        <ns0:t>The irrigation domain stresses capabilities not exercised in flood adaptation: cluster-specific magnitude caps (20%/15%/8%), Colorado River Compact-linked constraints (allocation limits and drought tiers), and a dual-appraisal scheme (Water Scarcity Assessment and Adaptive Capacity Assessment) replacing flood PMT constructs. The broker pipeline, retry-and-feedback mechanism, and audit trace structure remain unchanged.</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t>Figure 3 shows that WAGF-governed agents produce demand trajectories at realistic CRSS scales. Upper Basin agents request 39.7% above the CRSS static baseline, but curtailment reduces realised diversion to +28.8%; Lower Basin agents show +18.2% request versus +9.1% diversion. This request-diversion gap reflects institutional filtering of proposals (paper water vs wet water) through identity-rule feasibility constraints rather than hard-coded trajectories.</ns0:t>
      </ns0:r>
    </ns0:p>
    <ns0:p ns2:paraId="5DA1A643" ns2:textId="77777777" ns0:rsidR="CF7DCF98" ns0:rsidRDefault="CF7DCF98" ns0:rsidP="CF7DCF98">
      <ns0:pPr>
        <ns0:spacing ns0:after="120" ns0:line="480" ns0:lineRule="auto"/>
        <ns0:ind ns0:firstLine="360"/>
        <ns0:jc ns0:val="both"/>
      </ns0:pPr>
      <ns0:r>
        <ns0:t>The governance layer logs 526 interventions across 3,276 agent-year decisions (16.1%), with 173 successful retries and zero parsing failures, indicating transfer of the same broker retry-control loop used in flood experiments. Cluster differentiation remains visible in governed outcomes: Aggressive agents allocate 40.9% of decisions to increase_demand, Forward-Looking Conservative agents 78.6% to decrease_demand, and Myopic Conservative agents 80.2% to maintain_demand. These patterns remain qualitatively consistent with the original FQL cluster behavior (Hung and Yang, 2021, Figure 7) while being generated through language-model reasoning.</ns0:t>
      </ns0:r>
    </ns0:p>
    <ns0:p ns2:paraId="1D742DE9" ns2:textId="77777777" ns0:rsidR="CF7DCF98" ns0:rsidRDefault="CF7DCF98" ns0:rsidP="CF7DCF98">
      <ns0:pPr>
        <ns0:spacing ns0:after="120" ns0:line="480" ns0:lineRule="auto"/>
        <ns0:ind ns0:firstLine="360"/>
        <ns0:jc ns0:val="both"/>
      </ns0:pPr>
      <ns0:r>
        <ns0:t>The irrigation case highlights the same metric split used in Section 3. Infeasible proposals (e.g., violating minimum-utilisation or allocation-cap identity checks) contribute to feasibility hallucination rate R_H. Coherence failures that remain technically feasible are tracked as rationality deviation R_R via thinking-rule ERROR traces. This separation allows cross-domain comparison of governance performance without conflating infeasibility and bounded-rational behavior.</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