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feasibility hallucination (R_H) and rationality deviation (R_R) relative to ungoverned LLM agents, while preserving high behavioral diversity.</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behavioral heterogeneity. WAGF integrates three components: (1) a rule-based validator chain, (2) a tiered cognitive memory system, and (3) a priority context builder. We report two complementary diagnostics, rationality deviation (R_R) and feasibility contradiction (R_H), and quantify diversity with Effective Behavioral Entropy (EBE). In flood adaptation experiments (100 agents, 10 years, three Gemma 3 sizes), governance is associated with lower coherence deviations and comparable or higher effective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showing that governance is associated with fewer infeasible or incoherent outputs while retaining bounded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Main table columns emphasize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r>
              <w:t>Ungov. RR(%)</w:t>
            </w:r>
          </w:p>
        </w:tc>
        <w:tc>
          <w:tcPr>
            <w:tcW w:w="1800" w:type="dxa"/>
            <w:shd w:val="clear" w:color="auto" w:fill="D9E2F3"/>
            <w:vAlign w:val="center"/>
          </w:tcPr>
          <w:p>
            <w:r>
              <w:t>WAGF RR(%)</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1.05</w:t>
            </w:r>
          </w:p>
        </w:tc>
        <w:tc>
          <w:tcPr>
            <w:tcW w:w="1800" w:type="dxa"/>
            <w:vAlign w:val="center"/>
          </w:tcPr>
          <w:p>
            <w:r>
              <w:t>0.85</w:t>
            </w:r>
          </w:p>
        </w:tc>
        <w:tc>
          <w:tcPr>
            <w:tcW w:w="2000" w:type="dxa"/>
            <w:vAlign w:val="center"/>
          </w:tcPr>
          <w:p>
            <w:r>
              <w:t>19.5</w:t>
            </w:r>
          </w:p>
        </w:tc>
        <w:tc>
          <w:tcPr>
            <w:tcW w:w="2000" w:type="dxa"/>
            <w:vAlign w:val="center"/>
          </w:tcPr>
          <w:p>
            <w:r>
              <w:t>31.3</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0.51</w:t>
            </w:r>
          </w:p>
        </w:tc>
        <w:tc>
          <w:tcPr>
            <w:tcW w:w="1800" w:type="dxa"/>
            <w:vAlign w:val="center"/>
          </w:tcPr>
          <w:p>
            <w:r>
              <w:t>0.06</w:t>
            </w:r>
          </w:p>
        </w:tc>
        <w:tc>
          <w:tcPr>
            <w:tcW w:w="2000" w:type="dxa"/>
            <w:vAlign w:val="center"/>
          </w:tcPr>
          <w:p>
            <w:r>
              <w:t>88.9</w:t>
            </w:r>
          </w:p>
        </w:tc>
        <w:tc>
          <w:tcPr>
            <w:tcW w:w="2000" w:type="dxa"/>
            <w:vAlign w:val="center"/>
          </w:tcPr>
          <w:p>
            <w:r>
              <w:t>-4.9</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12.00</w:t>
            </w:r>
          </w:p>
        </w:tc>
        <w:tc>
          <w:tcPr>
            <w:tcW w:w="1800" w:type="dxa"/>
            <w:vAlign w:val="center"/>
          </w:tcPr>
          <w:p>
            <w:r>
              <w:t>0.00</w:t>
            </w:r>
          </w:p>
        </w:tc>
        <w:tc>
          <w:tcPr>
            <w:tcW w:w="2000" w:type="dxa"/>
            <w:vAlign w:val="center"/>
          </w:tcPr>
          <w:p>
            <w:r>
              <w:t>100.0</w:t>
            </w:r>
          </w:p>
        </w:tc>
        <w:tc>
          <w:tcPr>
            <w:tcW w:w="2000" w:type="dxa"/>
            <w:vAlign w:val="center"/>
          </w:tcPr>
          <w:p>
            <w:r>
              <w:t>0.2</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8.48</w:t>
            </w:r>
          </w:p>
        </w:tc>
        <w:tc>
          <w:tcPr>
            <w:tcW w:w="1800" w:type="dxa"/>
            <w:vAlign w:val="center"/>
          </w:tcPr>
          <w:p>
            <w:r>
              <w:t>0.29</w:t>
            </w:r>
          </w:p>
        </w:tc>
        <w:tc>
          <w:tcPr>
            <w:tcW w:w="2000" w:type="dxa"/>
            <w:vAlign w:val="center"/>
          </w:tcPr>
          <w:p>
            <w:r>
              <w:t>96.6</w:t>
            </w:r>
          </w:p>
        </w:tc>
        <w:tc>
          <w:tcPr>
            <w:tcW w:w="2000" w:type="dxa"/>
            <w:vAlign w:val="center"/>
          </w:tcPr>
          <w:p>
            <w:r>
              <w:t>59.2</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1.11</w:t>
            </w:r>
          </w:p>
        </w:tc>
        <w:tc>
          <w:tcPr>
            <w:tcW w:w="1800" w:type="dxa"/>
            <w:vAlign w:val="center"/>
          </w:tcPr>
          <w:p>
            <w:r>
              <w:t>0.00</w:t>
            </w:r>
          </w:p>
        </w:tc>
        <w:tc>
          <w:tcPr>
            <w:tcW w:w="2000" w:type="dxa"/>
            <w:vAlign w:val="center"/>
          </w:tcPr>
          <w:p>
            <w:r>
              <w:t>100.0</w:t>
            </w:r>
          </w:p>
        </w:tc>
        <w:tc>
          <w:tcPr>
            <w:tcW w:w="2000" w:type="dxa"/>
            <w:vAlign w:val="center"/>
          </w:tcPr>
          <w:p>
            <w:r>
              <w:t>-15.5</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1.81</w:t>
            </w:r>
          </w:p>
        </w:tc>
        <w:tc>
          <w:tcPr>
            <w:tcW w:w="1800" w:type="dxa"/>
            <w:vAlign w:val="center"/>
          </w:tcPr>
          <w:p>
            <w:r>
              <w:t>0.00</w:t>
            </w:r>
          </w:p>
        </w:tc>
        <w:tc>
          <w:tcPr>
            <w:tcW w:w="2000" w:type="dxa"/>
            <w:vAlign w:val="center"/>
          </w:tcPr>
          <w:p>
            <w:r>
              <w:t>100.0</w:t>
            </w:r>
          </w:p>
        </w:tc>
        <w:tc>
          <w:tcPr>
            <w:tcW w:w="2000" w:type="dxa"/>
            <w:vAlign w:val="center"/>
          </w:tcPr>
          <w:p>
            <w:r>
              <w:t>44.0</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governance configurations using Gemma 3 4B (Gemma Team, 2024) as the primary LLM: Group A (ungoverned; 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sources (`Table1_main_metrics_v8.csv` for main results and SI tables for feasibility diagnostics).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r>
              <w:t>Hallucination Rate (RH)</w:t>
            </w:r>
          </w:p>
        </w:tc>
        <w:tc>
          <w:tcPr>
            <w:tcW w:w="2256" w:type="dxa"/>
          </w:tcPr>
          <w:p>
            <w:r>
              <w:t>0.00%</w:t>
            </w:r>
          </w:p>
        </w:tc>
        <w:tc>
          <w:tcPr>
            <w:tcW w:w="2256" w:type="dxa"/>
          </w:tcPr>
          <w:p>
            <w:r>
              <w:t>0.00%</w:t>
            </w:r>
          </w:p>
        </w:tc>
        <w:tc>
          <w:tcPr>
            <w:tcW w:w="2256" w:type="dxa"/>
          </w:tcPr>
          <w:p>
            <w:r>
              <w:t>0.00%</w:t>
            </w:r>
          </w:p>
        </w:tc>
      </w:tr>
      <w:tr w:rsidR="00F803C3" w14:paraId="3DBD30BA" w14:textId="77777777">
        <w:tblPrEx>
          <w:tblCellMar>
            <w:top w:w="0" w:type="dxa"/>
            <w:bottom w:w="0" w:type="dxa"/>
          </w:tblCellMar>
        </w:tblPrEx>
        <w:trPr>
          <w:jc w:val="center"/>
        </w:trPr>
        <w:tc>
          <w:tcPr>
            <w:tcW w:w="2256" w:type="dxa"/>
          </w:tcPr>
          <w:p>
            <w:r>
              <w:t>Total hallucinations</w:t>
            </w:r>
          </w:p>
        </w:tc>
        <w:tc>
          <w:tcPr>
            <w:tcW w:w="2256" w:type="dxa"/>
          </w:tcPr>
          <w:p>
            <w:r>
              <w:t>0</w:t>
            </w:r>
          </w:p>
        </w:tc>
        <w:tc>
          <w:tcPr>
            <w:tcW w:w="2256" w:type="dxa"/>
          </w:tcPr>
          <w:p>
            <w:r>
              <w:t>0</w:t>
            </w:r>
          </w:p>
        </w:tc>
        <w:tc>
          <w:tcPr>
            <w:tcW w:w="2256" w:type="dxa"/>
          </w:tcPr>
          <w:p>
            <w:r>
              <w:t>0</w:t>
            </w:r>
          </w:p>
        </w:tc>
      </w:tr>
      <w:tr w:rsidR="00F803C3" w14:paraId="2956E30D" w14:textId="77777777">
        <w:tblPrEx>
          <w:tblCellMar>
            <w:top w:w="0" w:type="dxa"/>
            <w:bottom w:w="0" w:type="dxa"/>
          </w:tblCellMar>
        </w:tblPrEx>
        <w:trPr>
          <w:jc w:val="center"/>
        </w:trPr>
        <w:tc>
          <w:tcPr>
            <w:tcW w:w="2256" w:type="dxa"/>
          </w:tcPr>
          <w:p>
            <w:r>
              <w:t>Raw Hnorm</w:t>
            </w:r>
          </w:p>
        </w:tc>
        <w:tc>
          <w:tcPr>
            <w:tcW w:w="2256" w:type="dxa"/>
          </w:tcPr>
          <w:p>
            <w:r>
              <w:t>0.584</w:t>
            </w:r>
          </w:p>
        </w:tc>
        <w:tc>
          <w:tcPr>
            <w:tcW w:w="2256" w:type="dxa"/>
          </w:tcPr>
          <w:p>
            <w:r>
              <w:t>0.756</w:t>
            </w:r>
          </w:p>
        </w:tc>
        <w:tc>
          <w:tcPr>
            <w:tcW w:w="2256" w:type="dxa"/>
          </w:tcPr>
          <w:p>
            <w:r>
              <w:t>0.778</w:t>
            </w:r>
          </w:p>
        </w:tc>
      </w:tr>
      <w:tr w:rsidR="00F803C3" w14:paraId="02EF981F" w14:textId="77777777">
        <w:tblPrEx>
          <w:tblCellMar>
            <w:top w:w="0" w:type="dxa"/>
            <w:bottom w:w="0" w:type="dxa"/>
          </w:tblCellMar>
        </w:tblPrEx>
        <w:trPr>
          <w:jc w:val="center"/>
        </w:trPr>
        <w:tc>
          <w:tcPr>
            <w:tcW w:w="2256" w:type="dxa"/>
          </w:tcPr>
          <w:p>
            <w:r>
              <w:t>Corrected Hnorm</w:t>
            </w:r>
          </w:p>
        </w:tc>
        <w:tc>
          <w:tcPr>
            <w:tcW w:w="2256" w:type="dxa"/>
          </w:tcPr>
          <w:p>
            <w:r>
              <w:t>0.584</w:t>
            </w:r>
          </w:p>
        </w:tc>
        <w:tc>
          <w:tcPr>
            <w:tcW w:w="2256" w:type="dxa"/>
          </w:tcPr>
          <w:p>
            <w:r>
              <w:t>0.756</w:t>
            </w:r>
          </w:p>
        </w:tc>
        <w:tc>
          <w:tcPr>
            <w:tcW w:w="2256" w:type="dxa"/>
          </w:tcPr>
          <w:p>
            <w:r>
              <w:t>0.778</w:t>
            </w:r>
          </w:p>
        </w:tc>
      </w:tr>
      <w:tr w:rsidR="00F803C3" w14:paraId="4525F9D5" w14:textId="77777777">
        <w:tblPrEx>
          <w:tblCellMar>
            <w:top w:w="0" w:type="dxa"/>
            <w:bottom w:w="0" w:type="dxa"/>
          </w:tblCellMar>
        </w:tblPrEx>
        <w:trPr>
          <w:jc w:val="center"/>
        </w:trPr>
        <w:tc>
          <w:tcPr>
            <w:tcW w:w="2256" w:type="dxa"/>
          </w:tcPr>
          <w:p>
            <w:r>
              <w:t>EBE</w:t>
            </w:r>
          </w:p>
        </w:tc>
        <w:tc>
          <w:tcPr>
            <w:tcW w:w="2256" w:type="dxa"/>
          </w:tcPr>
          <w:p>
            <w:r>
              <w:t>0.584</w:t>
            </w:r>
          </w:p>
        </w:tc>
        <w:tc>
          <w:tcPr>
            <w:tcW w:w="2256" w:type="dxa"/>
          </w:tcPr>
          <w:p>
            <w:r>
              <w:t>0.756</w:t>
            </w:r>
          </w:p>
        </w:tc>
        <w:tc>
          <w:tcPr>
            <w:tcW w:w="2256" w:type="dxa"/>
          </w:tcPr>
          <w:p>
            <w:r>
              <w:t>0.778</w:t>
            </w:r>
          </w:p>
        </w:tc>
      </w:tr>
      <w:tr w:rsidR="00F803C3" w14:paraId="78BD8F06" w14:textId="77777777">
        <w:tblPrEx>
          <w:tblCellMar>
            <w:top w:w="0" w:type="dxa"/>
            <w:bottom w:w="0" w:type="dxa"/>
          </w:tblCellMar>
        </w:tblPrEx>
        <w:trPr>
          <w:jc w:val="center"/>
        </w:trPr>
        <w:tc>
          <w:tcPr>
            <w:tcW w:w="2256" w:type="dxa"/>
          </w:tcPr>
          <w:p>
            <w:r>
              <w:t>Relocated (Year 10)</w:t>
            </w:r>
          </w:p>
        </w:tc>
        <w:tc>
          <w:tcPr>
            <w:tcW w:w="2256" w:type="dxa"/>
          </w:tcPr>
          <w:p>
            <w:r>
              <w:t>0 / 100</w:t>
            </w:r>
          </w:p>
        </w:tc>
        <w:tc>
          <w:tcPr>
            <w:tcW w:w="2256" w:type="dxa"/>
          </w:tcPr>
          <w:p>
            <w:r>
              <w:t>31 / 100</w:t>
            </w:r>
          </w:p>
        </w:tc>
        <w:tc>
          <w:tcPr>
            <w:tcW w:w="2256" w:type="dxa"/>
          </w:tcPr>
          <w:p>
            <w:r>
              <w:t>35 / 100</w:t>
            </w:r>
          </w:p>
        </w:tc>
      </w:tr>
      <w:tr w:rsidR="00F803C3" w14:paraId="303FEB6D" w14:textId="77777777">
        <w:tblPrEx>
          <w:tblCellMar>
            <w:top w:w="0" w:type="dxa"/>
            <w:bottom w:w="0" w:type="dxa"/>
          </w:tblCellMar>
        </w:tblPrEx>
        <w:trPr>
          <w:jc w:val="center"/>
        </w:trPr>
        <w:tc>
          <w:tcPr>
            <w:tcW w:w="2256" w:type="dxa"/>
          </w:tcPr>
          <w:p>
            <w:r>
              <w:t>Active agents (Year 10)</w:t>
            </w:r>
          </w:p>
        </w:tc>
        <w:tc>
          <w:tcPr>
            <w:tcW w:w="2256" w:type="dxa"/>
          </w:tcPr>
          <w:p>
            <w:r>
              <w:t>100</w:t>
            </w:r>
          </w:p>
        </w:tc>
        <w:tc>
          <w:tcPr>
            <w:tcW w:w="2256" w:type="dxa"/>
          </w:tcPr>
          <w:p>
            <w:r>
              <w:t>69</w:t>
            </w:r>
          </w:p>
        </w:tc>
        <w:tc>
          <w:tcPr>
            <w:tcW w:w="2256" w:type="dxa"/>
          </w:tcPr>
          <w:p>
            <w:r>
              <w:t>65</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evaluate transferability, we configure WAGF in a Colorado River irrigation-demand setting while keeping the core governance runtime unchanged from the flood case. The experiment simulates 78 CRSS irrigation districts over 42 years (2019–2060) using Gemma 3 4B, with agent personas derived from k-means clustering of the Fuzzy Q-Learning (FQL) parameters in Hung and Yang (2021, Table 2): 67 aggressive, 5 forward-looking conservative, and 6 myopic conservative agents. Domain adaptation is implemented through configuration-level substitutions: five graduated demand-adjustment skills (increase_large, increase_small, maintain_demand, decrease_small, decrease_large) replace the flood action set, 12 custom validators enforce physical and institutional constraints (Section S6), and a dual-appraisal structure—Water Scarcity Assessment (WSA) and Adaptive Capacity Assessment (ACA)—replaces the PMT constructs used in the flood case. Demand-change magnitude is sampled from persona-scaled Gaussian distributions at execution time rather than specified by the LLM (Section S7).</w:t>
      </w:r>
    </w:p>
    <w:p w:rsidR="BE341ECD" w:rsidRDefault="BE341ECD" w:rsidP="BE341ECD" w14:paraId="57ECC17F" w14:textId="218EF834">
      <w:pPr>
        <w:spacing w:after="120" w:line="480" w:lineRule="auto"/>
        <w:ind w:firstLine="360"/>
        <w:jc w:val="both"/>
        <w:rPr/>
      </w:pPr>
      <w:r>
        <w:t>Governance is applied in ordered layers: identity and physical feasibility constraints first, followed by construct-conditioned coherence checks, retry-with-feedback (Section S2), and auditable execution outcomes. The environment couples agent demand to Lake Mead reservoir dynamics through an annual mass balance model (Section S8), creating bidirectional feedback: agent diversions lower storage, triggering shortage tiers that curtail future diversions and activate governance rules. Figure 3 shows that this reconfigured setup yields plausible long-horizon system behavior under institutional and hydrologic constraints, while preserving bounded behavioral heterogeneity at the agent level. The irrigation case is therefore presented as transferability evidence: the same framework operates across water domains without redesigning core architecture.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transferability demonstration. Panel (a) shows system-level demand trajectories: steady-state mean demand (Y6–42) is 5.87 MAF/yr (1.003× the CRSS static baseline), with coefficient of variation 5.3% and 88% of years falling within the ±10% reference corridor. Panel (b) shows Lake Mead elevation dynamics, ranging from 1,003 to 1,179 ft across the 42-year horizon with 12 shortage years (Tier 1: 5, Tier 2: 2, Tier 3: 5). These metrics fall within the range reported by Hung and Yang (2021) for FQL agents under comparable climate scenarios, achieved through governance constraints rather than reward-based Q-value convergence.</w:t>
      </w:r>
    </w:p>
    <w:p w:rsidR="BE341ECD" w:rsidRDefault="BE341ECD" w:rsidP="BE341ECD" w14:paraId="0FD43808" w14:textId="47E802C6">
      <w:pPr>
        <w:spacing w:after="120" w:line="480" w:lineRule="auto"/>
        <w:ind w:firstLine="360"/>
        <w:jc w:val="both"/>
        <w:rPr/>
      </w:pPr>
      <w:r>
        <w:t>The first five years constitute a memory initialization transient (analogous to spin-up in physical models), during which agents lack episodic context for informed decision-making: cold-start mean demand is 4.76 MAF with CoV 11.4%, compared to 6.02 MAF and 5.3% in steady state. Of 3,276 agent-year decisions, 37.7% are approved on first attempt, 22.4% succeed after governance retry, and 39.8% are rejected and fall back to maintain_demand. This 60% intervention rate reflects a structural feature of bounded-rationality LLM agents under chronic drought, where governance compensates for the absence of a reward signal (Section S9).</w:t>
      </w:r>
    </w:p>
    <w:p w:rsidR="BE341ECD" w:rsidRDefault="BE341ECD" w:rsidP="BE341ECD" w14:paraId="2A00E618" w14:textId="02C3F51C">
      <w:pPr>
        <w:spacing w:after="120" w:line="480" w:lineRule="auto"/>
        <w:ind w:firstLine="360"/>
        <w:jc w:val="both"/>
        <w:rPr/>
      </w:pPr>
      <w:r>
        <w:t>Governance visibly narrows the executable action space while retaining interpretable differences across behavioral clusters. Normalized Shannon entropy drops from H_norm = 0.74 (proposed) to 0.39 (executed), a 47% compression that quantifies institutional constraint strength. Critically, cluster differentiation is preserved: aggressive agents face 43 percentage-point governance compression (propose 60% increase → execute 17%), while myopic agents face near-zero compression (98% maintain in both proposed and executed). This indicates bounded heterogeneity rather than homogeneous lock-step behavior—the qualitative behavioral ordering from FQL k-means clusters is maintained through governance rules rather than individually calibrated penalty sensitivities (Section S7).</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 Irrigation case study: 78 CRSS districts, 42 years, Gemma 3 4B, Phase C governance. (a) Annual aggregate water demand. Dashed indigo: CRSS static baseline (USBR, 2012). Solid teal: WAGF governed request. Dotted blue: actual diversion after curtailment. Shaded band: ±10% CRSS reference range. The cold-start transient (2019–2023) reflects zero-memory initialization; steady-state demand (2024–2060) tracks the CRSS baseline within the ±10% corridor (88% of years). (b) Lake Mead elevation trajectory with DCP shortage tier bands. Tier thresholds at 1,075 ft (Tier 1, 5% curtailment), 1,050 ft (Tier 2, 10%), and 1,025 ft (Tier 3, 20%) follow the 2019 Drought Contingency Plan. Elevation ranges from 1,003 to 1,179 ft across the 42-year horizon, with 12 shortage years (Tier 1: 5, Tier 2: 2, Tier 3: 5). The bidirectional coupling between panels is the core mechanism: agent demand decisions (a) affect reservoir storage and elevation (b), which in turn determines shortage tiers and curtailment ratios fed back to agents. Complete governance rule specifications, FQL-to-persona cluster mapping, mass balance equations, and production summary statistics are provided in Sections S6–S9.</w:t>
      </w:r>
      <w:r>
        <w:rPr>
          <w:b w:val="0"/>
        </w:rPr>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is near zero in current runs, while coherence deviations (R_R) remain materially higher in ungoverned settings</w:t>
      </w:r>
    </w:p>
    <w:p w14:paraId="14A813A3" w14:textId="77777777" w:rsidR="259F63AB" w:rsidRDefault="259F63AB" w:rsidP="259F63AB">
      <w:pPr>
        <w:spacing w:after="120" w:line="480" w:lineRule="auto"/>
        <w:ind w:firstLine="360"/>
        <w:jc w:val="both"/>
        <w:rPr/>
      </w:pPr>
      <w:r>
        <w:t>Second, governance reduces both feasibility hallucination (R_H) and irrational behavior (R_R) while maintaining high behavioral diversity. Governed groups show higher EBE than the ungoverned baseline and substantially higher cumulative relocation in flood adaptation, indicating that governance removes infeasible/irrational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