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主題決策備忘錄-llm在水資源領域的應用"/>
    <w:p>
      <w:pPr>
        <w:pStyle w:val="Title"/>
        <w:widowControl/>
      </w:pPr>
      <w:r>
        <w:rPr>
          <w:color w:val="000000"/>
        </w:rPr>
        <w:t xml:space="preserve">主題決策備忘錄 — LLM在水資源領域的應用</w:t>
      </w:r>
    </w:p>
    <w:bookmarkStart w:id="20" w:name="主管決策摘要"/>
    <w:p>
      <w:pPr>
        <w:pStyle w:val="Heading2"/>
        <w:widowControl/>
      </w:pPr>
      <w:r>
        <w:rPr>
          <w:color w:val="000000"/>
        </w:rPr>
        <w:t xml:space="preserve">1. 主管決策摘要</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189"/>
        <w:gridCol w:w="7603"/>
      </w:tblGrid>
      <w:tr>
        <w:trPr>
          <w:tblHeader w:val="on"/>
          <w:tblHeader/>
        </w:trPr>
        <w:tc>
          <w:tcPr>
            <w:tcW w:type="dxa" w:w="2189"/>
            <w:vAlign w:val="center"/>
            <w:shd w:fill="203B59"/>
          </w:tcPr>
          <w:p>
            <w:pPr>
              <w:pStyle w:val="Compact"/>
              <w:spacing w:after="20" w:before="20" w:line="280" w:lineRule="exact"/>
              <w:jc w:val="left"/>
            </w:pPr>
            <w:r>
              <w:rPr>
                <w:rFonts w:ascii="Arial" w:hAnsi="Arial"/>
                <w:b/>
                <w:color w:val="FFFFFF"/>
                <w:sz w:val="20"/>
              </w:rPr>
              <w:t xml:space="preserve">欄位</w:t>
            </w:r>
          </w:p>
        </w:tc>
        <w:tc>
          <w:tcPr>
            <w:tcW w:type="dxa" w:w="7603"/>
            <w:vAlign w:val="center"/>
            <w:shd w:fill="203B59"/>
          </w:tcPr>
          <w:p>
            <w:pPr>
              <w:pStyle w:val="Compact"/>
              <w:spacing w:after="20" w:before="20" w:line="280" w:lineRule="exact"/>
              <w:jc w:val="left"/>
            </w:pPr>
            <w:r>
              <w:rPr>
                <w:rFonts w:ascii="Arial" w:hAnsi="Arial"/>
                <w:b/>
                <w:color w:val="FFFFFF"/>
                <w:sz w:val="20"/>
              </w:rPr>
              <w:t xml:space="preserve">內容</w:t>
            </w:r>
          </w:p>
        </w:tc>
      </w:tr>
      <w:tr>
        <w:trPr>
          <w:cantSplit/>
        </w:trPr>
        <w:tc>
          <w:tcPr>
            <w:tcW w:type="dxa" w:w="2189"/>
            <w:vAlign w:val="center"/>
            <w:shd w:fill="FFFFFF"/>
          </w:tcPr>
          <w:p>
            <w:pPr>
              <w:pStyle w:val="Compact"/>
              <w:spacing w:after="20" w:before="20" w:line="280" w:lineRule="exact"/>
              <w:jc w:val="left"/>
            </w:pPr>
            <w:r>
              <w:rPr>
                <w:rFonts w:ascii="Arial" w:hAnsi="Arial"/>
                <w:color w:val="000000"/>
                <w:sz w:val="20"/>
              </w:rPr>
              <w:t xml:space="preserve">領域</w:t>
            </w:r>
          </w:p>
        </w:tc>
        <w:tc>
          <w:tcPr>
            <w:tcW w:type="dxa" w:w="7603"/>
            <w:vAlign w:val="center"/>
            <w:shd w:fill="FFFFFF"/>
          </w:tcPr>
          <w:p>
            <w:pPr>
              <w:pStyle w:val="Compact"/>
              <w:spacing w:after="20" w:before="20" w:line="280" w:lineRule="exact"/>
              <w:jc w:val="left"/>
            </w:pPr>
            <w:r>
              <w:rPr>
                <w:rFonts w:ascii="Arial" w:hAnsi="Arial"/>
                <w:color w:val="000000"/>
                <w:sz w:val="20"/>
              </w:rPr>
              <w:t xml:space="preserve">大型語言模型在水資源領域的應用</w:t>
            </w:r>
          </w:p>
        </w:tc>
      </w:tr>
      <w:tr>
        <w:trPr>
          <w:cantSplit/>
        </w:trPr>
        <w:tc>
          <w:tcPr>
            <w:tcW w:type="dxa" w:w="2189"/>
            <w:vAlign w:val="center"/>
            <w:shd w:fill="F3F6F9"/>
          </w:tcPr>
          <w:p>
            <w:pPr>
              <w:pStyle w:val="Compact"/>
              <w:spacing w:after="20" w:before="20" w:line="280" w:lineRule="exact"/>
              <w:jc w:val="left"/>
            </w:pPr>
            <w:r>
              <w:rPr>
                <w:rFonts w:ascii="Arial" w:hAnsi="Arial"/>
                <w:color w:val="000000"/>
                <w:sz w:val="20"/>
              </w:rPr>
              <w:t xml:space="preserve">編纂日期</w:t>
            </w:r>
          </w:p>
        </w:tc>
        <w:tc>
          <w:tcPr>
            <w:tcW w:type="dxa" w:w="7603"/>
            <w:vAlign w:val="center"/>
            <w:shd w:fill="F3F6F9"/>
          </w:tcPr>
          <w:p>
            <w:pPr>
              <w:pStyle w:val="Compact"/>
              <w:spacing w:after="20" w:before="20" w:line="280" w:lineRule="exact"/>
              <w:jc w:val="left"/>
            </w:pPr>
            <w:r>
              <w:rPr>
                <w:rFonts w:ascii="Arial" w:hAnsi="Arial"/>
                <w:color w:val="000000"/>
                <w:sz w:val="20"/>
              </w:rPr>
              <w:t xml:space="preserve">2026-05-22</w:t>
            </w:r>
          </w:p>
        </w:tc>
      </w:tr>
      <w:tr>
        <w:trPr>
          <w:cantSplit/>
        </w:trPr>
        <w:tc>
          <w:tcPr>
            <w:tcW w:type="dxa" w:w="2189"/>
            <w:vAlign w:val="center"/>
            <w:shd w:fill="FFFFFF"/>
          </w:tcPr>
          <w:p>
            <w:pPr>
              <w:pStyle w:val="Compact"/>
              <w:spacing w:after="20" w:before="20" w:line="280" w:lineRule="exact"/>
              <w:jc w:val="left"/>
            </w:pPr>
            <w:r>
              <w:rPr>
                <w:rFonts w:ascii="Arial" w:hAnsi="Arial"/>
                <w:color w:val="000000"/>
                <w:sz w:val="20"/>
              </w:rPr>
              <w:t xml:space="preserve">結論等級</w:t>
            </w:r>
          </w:p>
        </w:tc>
        <w:tc>
          <w:tcPr>
            <w:tcW w:type="dxa" w:w="7603"/>
            <w:vAlign w:val="center"/>
            <w:shd w:fill="FFFFFF"/>
          </w:tcPr>
          <w:p>
            <w:pPr>
              <w:pStyle w:val="Compact"/>
              <w:spacing w:after="20" w:before="20" w:line="280" w:lineRule="exact"/>
              <w:jc w:val="left"/>
            </w:pPr>
            <w:r>
              <w:rPr>
                <w:rFonts w:ascii="Arial" w:hAnsi="Arial"/>
                <w:color w:val="000000"/>
                <w:sz w:val="20"/>
              </w:rPr>
              <w:t xml:space="preserve">篩選等級 — 彙集證據；不做價值判斷</w:t>
            </w:r>
          </w:p>
        </w:tc>
      </w:tr>
      <w:tr>
        <w:trPr>
          <w:cantSplit/>
        </w:trPr>
        <w:tc>
          <w:tcPr>
            <w:tcW w:type="dxa" w:w="2189"/>
            <w:vAlign w:val="center"/>
            <w:shd w:fill="F3F6F9"/>
          </w:tcPr>
          <w:p>
            <w:pPr>
              <w:pStyle w:val="Compact"/>
              <w:spacing w:after="20" w:before="20" w:line="280" w:lineRule="exact"/>
              <w:jc w:val="left"/>
            </w:pPr>
            <w:r>
              <w:rPr>
                <w:rFonts w:ascii="Arial" w:hAnsi="Arial"/>
                <w:color w:val="000000"/>
                <w:sz w:val="20"/>
              </w:rPr>
              <w:t xml:space="preserve">檢索信心</w:t>
            </w:r>
          </w:p>
        </w:tc>
        <w:tc>
          <w:tcPr>
            <w:tcW w:type="dxa" w:w="7603"/>
            <w:vAlign w:val="center"/>
            <w:shd w:fill="F3F6F9"/>
          </w:tcPr>
          <w:p>
            <w:pPr>
              <w:pStyle w:val="Compact"/>
              <w:spacing w:after="20" w:before="20" w:line="280" w:lineRule="exact"/>
              <w:jc w:val="left"/>
            </w:pPr>
            <w:r>
              <w:rPr>
                <w:rFonts w:ascii="Arial" w:hAnsi="Arial"/>
                <w:color w:val="000000"/>
                <w:sz w:val="20"/>
              </w:rPr>
              <w:t xml:space="preserve">中等 — 執行期間 Semantic Scholar 無法使用</w:t>
            </w:r>
          </w:p>
        </w:tc>
      </w:tr>
    </w:tbl>
    <w:p>
      <w:pPr>
        <w:pStyle w:val="BodyText"/>
        <w:widowControl/>
      </w:pPr>
      <w:r>
        <w:rPr>
          <w:b/>
          <w:bCs/>
        </w:rPr>
        <w:t xml:space="preserve">歷史紀錄與目前用途。</w:t>
      </w:r>
      <w:r>
        <w:t xml:space="preserve"> </w:t>
      </w:r>
      <w:r>
        <w:t xml:space="preserve">本備忘錄保留 2026-05-22 的篩選紀錄，包括 435 篇檢索結果、25 篇篩選結果、13 篇文獻庫、分數與原始結論標籤。本次釐清未重新檢索文獻或驗證可行性，因此目前的缺口狀態、貢獻與可行性均為</w:t>
      </w:r>
      <w:r>
        <w:rPr>
          <w:b/>
          <w:bCs/>
        </w:rPr>
        <w:t xml:space="preserve">未知</w:t>
      </w:r>
      <w:r>
        <w:t xml:space="preserve">。原始</w:t>
      </w:r>
      <w:r>
        <w:t xml:space="preserve"> </w:t>
      </w:r>
      <w:r>
        <w:rPr>
          <w:rStyle w:val="VerbatimChar"/>
        </w:rPr>
        <w:t xml:space="preserve">conditional-go</w:t>
      </w:r>
      <w:r>
        <w:t xml:space="preserve"> </w:t>
      </w:r>
      <w:r>
        <w:t xml:space="preserve">是歷史篩選標籤，不代表目前已選定研究主題；研究者必須檢視更新的證據與未決條件，並視需要與指導老師討論後，明確記錄選題決定。此處未記錄這類選擇。3/5 中立分數表示仍未解決，並非通過關卡。</w:t>
      </w:r>
    </w:p>
    <w:p>
      <w:pPr>
        <w:pStyle w:val="BodyText"/>
        <w:widowControl/>
      </w:pPr>
      <w:r>
        <w:t xml:space="preserve">該次歷史篩選評估了兩個將大型語言模型應用於水資源的候選主題。</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189"/>
        <w:gridCol w:w="7603"/>
      </w:tblGrid>
      <w:tr>
        <w:trPr>
          <w:tblHeader w:val="on"/>
          <w:tblHeader/>
        </w:trPr>
        <w:tc>
          <w:tcPr>
            <w:tcW w:type="dxa" w:w="2189"/>
            <w:vAlign w:val="center"/>
            <w:shd w:fill="203B59"/>
          </w:tcPr>
          <w:p>
            <w:pPr>
              <w:pStyle w:val="Compact"/>
              <w:spacing w:after="20" w:before="20" w:line="280" w:lineRule="exact"/>
              <w:jc w:val="left"/>
            </w:pPr>
            <w:r>
              <w:rPr>
                <w:rFonts w:ascii="Arial" w:hAnsi="Arial"/>
                <w:b/>
                <w:color w:val="FFFFFF"/>
                <w:sz w:val="20"/>
              </w:rPr>
              <w:t xml:space="preserve">候選主題 1</w:t>
            </w:r>
          </w:p>
        </w:tc>
        <w:tc>
          <w:tcPr>
            <w:tcW w:type="dxa" w:w="7603"/>
            <w:vAlign w:val="center"/>
            <w:shd w:fill="203B59"/>
          </w:tcPr>
          <w:p>
            <w:pPr>
              <w:pStyle w:val="Compact"/>
              <w:spacing w:after="20" w:before="20" w:line="280" w:lineRule="exact"/>
              <w:jc w:val="left"/>
            </w:pPr>
            <w:r>
              <w:rPr>
                <w:rFonts w:ascii="Arial" w:hAnsi="Arial"/>
                <w:b/>
                <w:color w:val="FFFFFF"/>
                <w:sz w:val="20"/>
              </w:rPr>
              <w:t xml:space="preserve">LLM 驅動的水資源管理</w:t>
            </w:r>
          </w:p>
        </w:tc>
      </w:tr>
      <w:tr>
        <w:trPr>
          <w:cantSplit/>
        </w:trPr>
        <w:tc>
          <w:tcPr>
            <w:tcW w:type="dxa" w:w="2189"/>
            <w:vAlign w:val="center"/>
            <w:shd w:fill="FFFFFF"/>
          </w:tcPr>
          <w:p>
            <w:pPr>
              <w:pStyle w:val="Compact"/>
              <w:spacing w:after="20" w:before="20" w:line="280" w:lineRule="exact"/>
              <w:jc w:val="left"/>
            </w:pPr>
            <w:r>
              <w:rPr>
                <w:rFonts w:ascii="Arial" w:hAnsi="Arial"/>
                <w:b/>
                <w:bCs/>
                <w:color w:val="000000"/>
                <w:sz w:val="20"/>
              </w:rPr>
              <w:t xml:space="preserve">歷史結論</w:t>
            </w:r>
          </w:p>
        </w:tc>
        <w:tc>
          <w:tcPr>
            <w:tcW w:type="dxa" w:w="7603"/>
            <w:vAlign w:val="center"/>
            <w:shd w:fill="F4DEDE"/>
          </w:tcPr>
          <w:p>
            <w:pPr>
              <w:pStyle w:val="Compact"/>
              <w:spacing w:after="20" w:before="20" w:line="280" w:lineRule="exact"/>
              <w:jc w:val="left"/>
            </w:pPr>
            <w:r>
              <w:rPr>
                <w:rFonts w:ascii="Arial" w:hAnsi="Arial"/>
                <w:color w:val="000000"/>
                <w:sz w:val="20"/>
              </w:rPr>
              <w:t xml:space="preserve">不予推進 — 維持現述</w:t>
            </w:r>
          </w:p>
        </w:tc>
      </w:tr>
      <w:tr>
        <w:trPr>
          <w:cantSplit/>
        </w:trPr>
        <w:tc>
          <w:tcPr>
            <w:tcW w:type="dxa" w:w="2189"/>
            <w:vAlign w:val="center"/>
            <w:shd w:fill="F3F6F9"/>
          </w:tcPr>
          <w:p>
            <w:pPr>
              <w:pStyle w:val="Compact"/>
              <w:spacing w:after="20" w:before="20" w:line="280" w:lineRule="exact"/>
              <w:jc w:val="left"/>
            </w:pPr>
            <w:r>
              <w:rPr>
                <w:rFonts w:ascii="Arial" w:hAnsi="Arial"/>
                <w:b/>
                <w:bCs/>
                <w:color w:val="000000"/>
                <w:sz w:val="20"/>
              </w:rPr>
              <w:t xml:space="preserve">理由</w:t>
            </w:r>
          </w:p>
        </w:tc>
        <w:tc>
          <w:tcPr>
            <w:tcW w:type="dxa" w:w="7603"/>
            <w:vAlign w:val="center"/>
            <w:shd w:fill="F3F6F9"/>
          </w:tcPr>
          <w:p>
            <w:pPr>
              <w:pStyle w:val="Compact"/>
              <w:spacing w:after="20" w:before="20" w:line="280" w:lineRule="exact"/>
              <w:jc w:val="left"/>
            </w:pPr>
            <w:r>
              <w:rPr>
                <w:rFonts w:ascii="Arial" w:hAnsi="Arial"/>
                <w:color w:val="000000"/>
                <w:sz w:val="20"/>
              </w:rPr>
              <w:t xml:space="preserve">一個水文學專屬的 LLM 基準 (HydroLLM, Kizilkaya et al. 2025) 和一篇關於 LLM 在水文學中應用的文獻計量分析 (Sajja et al. 2025) 均在有限文獻庫中被找到。這些研究反駁了「整個領域尚未有人嘗試」的廣泛主張，但不能證明每個較窄的問題都已被研究。</w:t>
            </w:r>
          </w:p>
        </w:tc>
      </w:tr>
    </w:tbl>
    <w:p>
      <w:pPr>
        <w:widowControl/>
      </w:pP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189"/>
        <w:gridCol w:w="7603"/>
      </w:tblGrid>
      <w:tr>
        <w:trPr>
          <w:tblHeader w:val="on"/>
          <w:tblHeader/>
        </w:trPr>
        <w:tc>
          <w:tcPr>
            <w:tcW w:type="dxa" w:w="2189"/>
            <w:vAlign w:val="center"/>
            <w:shd w:fill="203B59"/>
          </w:tcPr>
          <w:p>
            <w:pPr>
              <w:pStyle w:val="Compact"/>
              <w:spacing w:after="20" w:before="20" w:line="280" w:lineRule="exact"/>
              <w:jc w:val="left"/>
            </w:pPr>
            <w:r>
              <w:rPr>
                <w:rFonts w:ascii="Arial" w:hAnsi="Arial"/>
                <w:b/>
                <w:color w:val="FFFFFF"/>
                <w:sz w:val="20"/>
              </w:rPr>
              <w:t xml:space="preserve">候選主題 2</w:t>
            </w:r>
          </w:p>
        </w:tc>
        <w:tc>
          <w:tcPr>
            <w:tcW w:type="dxa" w:w="7603"/>
            <w:vAlign w:val="center"/>
            <w:shd w:fill="203B59"/>
          </w:tcPr>
          <w:p>
            <w:pPr>
              <w:pStyle w:val="Compact"/>
              <w:spacing w:after="20" w:before="20" w:line="280" w:lineRule="exact"/>
              <w:jc w:val="left"/>
            </w:pPr>
            <w:r>
              <w:rPr>
                <w:rFonts w:ascii="Arial" w:hAnsi="Arial"/>
                <w:b/>
                <w:color w:val="FFFFFF"/>
                <w:sz w:val="20"/>
              </w:rPr>
              <w:t xml:space="preserve">用於社會水文學中人類行為的 LLM 代理人</w:t>
            </w:r>
          </w:p>
        </w:tc>
      </w:tr>
      <w:tr>
        <w:trPr>
          <w:cantSplit/>
        </w:trPr>
        <w:tc>
          <w:tcPr>
            <w:tcW w:type="dxa" w:w="2189"/>
            <w:vAlign w:val="center"/>
            <w:shd w:fill="FFFFFF"/>
          </w:tcPr>
          <w:p>
            <w:pPr>
              <w:pStyle w:val="Compact"/>
              <w:spacing w:after="20" w:before="20" w:line="280" w:lineRule="exact"/>
              <w:jc w:val="left"/>
            </w:pPr>
            <w:r>
              <w:rPr>
                <w:rFonts w:ascii="Arial" w:hAnsi="Arial"/>
                <w:b/>
                <w:bCs/>
                <w:color w:val="000000"/>
                <w:sz w:val="20"/>
              </w:rPr>
              <w:t xml:space="preserve">歷史結論</w:t>
            </w:r>
          </w:p>
        </w:tc>
        <w:tc>
          <w:tcPr>
            <w:tcW w:type="dxa" w:w="7603"/>
            <w:vAlign w:val="center"/>
            <w:shd w:fill="FFF3D6"/>
          </w:tcPr>
          <w:p>
            <w:pPr>
              <w:pStyle w:val="Compact"/>
              <w:spacing w:after="20" w:before="20" w:line="280" w:lineRule="exact"/>
              <w:jc w:val="left"/>
            </w:pPr>
            <w:r>
              <w:rPr>
                <w:rFonts w:ascii="Arial" w:hAnsi="Arial"/>
                <w:color w:val="000000"/>
                <w:sz w:val="20"/>
              </w:rPr>
              <w:t xml:space="preserve">值得推進 — 須其待決條件成立</w:t>
            </w:r>
          </w:p>
        </w:tc>
      </w:tr>
      <w:tr>
        <w:trPr>
          <w:cantSplit/>
        </w:trPr>
        <w:tc>
          <w:tcPr>
            <w:tcW w:type="dxa" w:w="2189"/>
            <w:vAlign w:val="center"/>
            <w:shd w:fill="F3F6F9"/>
          </w:tcPr>
          <w:p>
            <w:pPr>
              <w:pStyle w:val="Compact"/>
              <w:spacing w:after="20" w:before="20" w:line="280" w:lineRule="exact"/>
              <w:jc w:val="left"/>
            </w:pPr>
            <w:r>
              <w:rPr>
                <w:rFonts w:ascii="Arial" w:hAnsi="Arial"/>
                <w:b/>
                <w:bCs/>
                <w:color w:val="000000"/>
                <w:sz w:val="20"/>
              </w:rPr>
              <w:t xml:space="preserve">理由</w:t>
            </w:r>
          </w:p>
        </w:tc>
        <w:tc>
          <w:tcPr>
            <w:tcW w:type="dxa" w:w="7603"/>
            <w:vAlign w:val="center"/>
            <w:shd w:fill="F3F6F9"/>
          </w:tcPr>
          <w:p>
            <w:pPr>
              <w:pStyle w:val="Compact"/>
              <w:spacing w:after="20" w:before="20" w:line="280" w:lineRule="exact"/>
              <w:jc w:val="left"/>
            </w:pPr>
            <w:r>
              <w:rPr>
                <w:rFonts w:ascii="Arial" w:hAnsi="Arial"/>
                <w:color w:val="000000"/>
                <w:sz w:val="20"/>
              </w:rPr>
              <w:t xml:space="preserve">選入的 13 篇文獻中，未辨識出為社會水文學建立校準過 LLM 代理人的論文；這不能證明更廣泛的文獻中不存在此類研究。Schück (2026) 這篇經同儕審查的論文明確警示，在人與水的互動研究中，需審慎以 LLM 產生或代表人類資料 — 專案的驗證設計必須回應此警示。</w:t>
            </w:r>
          </w:p>
        </w:tc>
      </w:tr>
    </w:tbl>
    <w:p>
      <w:pPr>
        <w:pStyle w:val="BodyText"/>
        <w:widowControl/>
      </w:pPr>
      <w:r>
        <w:rPr>
          <w:b/>
          <w:bCs/>
        </w:rPr>
        <w:t xml:space="preserve">主要不確定性。</w:t>
      </w:r>
      <w:r>
        <w:t xml:space="preserve"> </w:t>
      </w:r>
      <w:r>
        <w:t xml:space="preserve">該次歷史檢索的召回信心僅為中等 — 執行期間 Semantic Scholar 受到速率限制，因此仍可能遺漏與候選主題 2 相關的論文。啟用該後端重新檢索可改善涵蓋度，但不能保證完整召回。</w:t>
      </w:r>
    </w:p>
    <w:bookmarkEnd w:id="20"/>
    <w:bookmarkStart w:id="21" w:name="候選主題定義"/>
    <w:p>
      <w:pPr>
        <w:pStyle w:val="Heading2"/>
        <w:widowControl/>
      </w:pPr>
      <w:r>
        <w:rPr>
          <w:color w:val="000000"/>
        </w:rPr>
        <w:t xml:space="preserve">2. 候選主題定義</w:t>
      </w:r>
    </w:p>
    <w:p>
      <w:pPr>
        <w:pStyle w:val="FirstParagraph"/>
        <w:widowControl/>
      </w:pPr>
      <w:r>
        <w:rPr>
          <w:b/>
          <w:bCs/>
        </w:rPr>
        <w:t xml:space="preserve">候選主題 1 — LLM 驅動的水資源管理。</w:t>
      </w:r>
      <w:r>
        <w:t xml:space="preserve"> </w:t>
      </w:r>
      <w:r>
        <w:t xml:space="preserve">使用 LLM 與 LLM 代理人進行水資源管理和決策支援：水文預測、水庫與河流操作、監測及規劃。</w:t>
      </w:r>
      <w:r>
        <w:rPr>
          <w:i/>
          <w:iCs/>
        </w:rPr>
        <w:t xml:space="preserve">受檢驗的初始缺口假設：</w:t>
      </w:r>
      <w:r>
        <w:t xml:space="preserve"> </w:t>
      </w:r>
      <w:r>
        <w:t xml:space="preserve">將 LLM 廣泛應用於水資源管理可能尚未被嘗試。檢索所得的先期研究已反駁此廣泛假設。</w:t>
      </w:r>
    </w:p>
    <w:p>
      <w:pPr>
        <w:pStyle w:val="BodyText"/>
        <w:widowControl/>
      </w:pPr>
      <w:r>
        <w:rPr>
          <w:b/>
          <w:bCs/>
        </w:rPr>
        <w:t xml:space="preserve">候選主題 2 — 用於社會水文學中人類行為的 LLM 代理人。</w:t>
      </w:r>
      <w:r>
        <w:t xml:space="preserve"> </w:t>
      </w:r>
      <w:r>
        <w:t xml:space="preserve">在一個人與水耦合（社會水文學）模型中，使用 LLM 代理人來代表個別利害關係人和家戶如何做出用水決策，並根據觀察到的用水和調適行為對這些代理人進行校準與檢驗。</w:t>
      </w:r>
      <w:r>
        <w:rPr>
          <w:i/>
          <w:iCs/>
        </w:rPr>
        <w:t xml:space="preserve">仍待檢驗的缺口假設：</w:t>
      </w:r>
      <w:r>
        <w:t xml:space="preserve"> </w:t>
      </w:r>
      <w:r>
        <w:t xml:space="preserve">在社會水文學模型中，以校準過的 LLM 代理人表徵利害關係人行為，可能研究不足。選入文獻中未辨識出相符實作；是否不存在於更廣泛的文獻中，仍未驗證。</w:t>
      </w:r>
    </w:p>
    <w:bookmarkEnd w:id="21"/>
    <w:bookmarkStart w:id="22" w:name="決策評分卡"/>
    <w:p>
      <w:pPr>
        <w:pStyle w:val="Heading2"/>
        <w:widowControl/>
      </w:pPr>
      <w:r>
        <w:rPr>
          <w:color w:val="000000"/>
        </w:rPr>
        <w:t xml:space="preserve">3. 決策評分卡</w:t>
      </w:r>
    </w:p>
    <w:p>
      <w:pPr>
        <w:pStyle w:val="FirstParagraph"/>
        <w:keepNext/>
        <w:widowControl/>
      </w:pPr>
      <w:r>
        <w:rPr>
          <w:b/>
          <w:bCs/>
        </w:rPr>
        <w:t xml:space="preserve">候選主題 1 — LLM 驅動的水資源管理</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376"/>
        <w:gridCol w:w="2952"/>
        <w:gridCol w:w="4464"/>
      </w:tblGrid>
      <w:tr>
        <w:trPr>
          <w:tblHeader w:val="on"/>
          <w:tblHeader/>
        </w:trPr>
        <w:tc>
          <w:tcPr>
            <w:tcW w:type="dxa" w:w="2376"/>
            <w:vAlign w:val="center"/>
            <w:shd w:fill="203B59"/>
          </w:tcPr>
          <w:p>
            <w:pPr>
              <w:pStyle w:val="Compact"/>
              <w:spacing w:after="20" w:before="20" w:line="280" w:lineRule="exact"/>
              <w:jc w:val="left"/>
            </w:pPr>
            <w:r>
              <w:rPr>
                <w:rFonts w:ascii="Arial" w:hAnsi="Arial"/>
                <w:b/>
                <w:color w:val="FFFFFF"/>
                <w:sz w:val="19"/>
              </w:rPr>
              <w:t xml:space="preserve">關卡</w:t>
            </w:r>
          </w:p>
        </w:tc>
        <w:tc>
          <w:tcPr>
            <w:tcW w:type="dxa" w:w="2952"/>
            <w:vAlign w:val="center"/>
            <w:shd w:fill="203B59"/>
          </w:tcPr>
          <w:p>
            <w:pPr>
              <w:pStyle w:val="Compact"/>
              <w:spacing w:after="20" w:before="20" w:line="280" w:lineRule="exact"/>
              <w:jc w:val="left"/>
            </w:pPr>
            <w:r>
              <w:rPr>
                <w:rFonts w:ascii="Arial" w:hAnsi="Arial"/>
                <w:b/>
                <w:color w:val="FFFFFF"/>
                <w:sz w:val="19"/>
              </w:rPr>
              <w:t xml:space="preserve">分數</w:t>
            </w:r>
          </w:p>
        </w:tc>
        <w:tc>
          <w:tcPr>
            <w:tcW w:type="dxa" w:w="4464"/>
            <w:vAlign w:val="center"/>
            <w:shd w:fill="203B59"/>
          </w:tcPr>
          <w:p>
            <w:pPr>
              <w:pStyle w:val="Compact"/>
              <w:spacing w:after="20" w:before="20" w:line="280" w:lineRule="exact"/>
              <w:jc w:val="left"/>
            </w:pPr>
            <w:r>
              <w:rPr>
                <w:rFonts w:ascii="Arial" w:hAnsi="Arial"/>
                <w:b/>
                <w:color w:val="FFFFFF"/>
                <w:sz w:val="19"/>
              </w:rPr>
              <w:t xml:space="preserve">理由</w:t>
            </w:r>
          </w:p>
        </w:tc>
      </w:tr>
      <w:tr>
        <w:trPr>
          <w:cantSplit/>
        </w:trPr>
        <w:tc>
          <w:tcPr>
            <w:tcW w:type="dxa" w:w="2376"/>
            <w:vAlign w:val="center"/>
            <w:shd w:fill="FFFFFF"/>
          </w:tcPr>
          <w:p>
            <w:pPr>
              <w:pStyle w:val="Compact"/>
              <w:spacing w:after="20" w:before="20" w:line="280" w:lineRule="exact"/>
              <w:jc w:val="left"/>
            </w:pPr>
            <w:r>
              <w:rPr>
                <w:rFonts w:ascii="Arial" w:hAnsi="Arial"/>
                <w:color w:val="000000"/>
                <w:sz w:val="19"/>
              </w:rPr>
              <w:t xml:space="preserve">關卡 1 — 缺口仍開放</w:t>
            </w:r>
          </w:p>
        </w:tc>
        <w:tc>
          <w:tcPr>
            <w:tcW w:type="dxa" w:w="2952"/>
            <w:vAlign w:val="center"/>
            <w:shd w:fill="FFFFFF"/>
          </w:tcPr>
          <w:p>
            <w:pPr>
              <w:pStyle w:val="Compact"/>
              <w:spacing w:after="20" w:before="20" w:line="280" w:lineRule="exact"/>
              <w:jc w:val="left"/>
            </w:pPr>
            <w:r>
              <w:rPr>
                <w:rFonts w:ascii="Arial" w:hAnsi="Arial"/>
                <w:color w:val="000000"/>
                <w:sz w:val="19"/>
              </w:rPr>
              <w:t xml:space="preserve">1/5 強烈不同意</w:t>
            </w:r>
          </w:p>
        </w:tc>
        <w:tc>
          <w:tcPr>
            <w:tcW w:type="dxa" w:w="4464"/>
            <w:vAlign w:val="center"/>
            <w:shd w:fill="FFFFFF"/>
          </w:tcPr>
          <w:p>
            <w:pPr>
              <w:pStyle w:val="Compact"/>
              <w:spacing w:after="20" w:before="20" w:line="280" w:lineRule="exact"/>
              <w:jc w:val="left"/>
            </w:pPr>
            <w:r>
              <w:rPr>
                <w:rFonts w:ascii="Arial" w:hAnsi="Arial"/>
                <w:color w:val="000000"/>
                <w:sz w:val="19"/>
              </w:rPr>
              <w:t xml:space="preserve">歷史評估：檢索所得研究反駁了整個領域尚未被嘗試的主張</w:t>
            </w:r>
          </w:p>
        </w:tc>
      </w:tr>
      <w:tr>
        <w:trPr>
          <w:cantSplit/>
        </w:trPr>
        <w:tc>
          <w:tcPr>
            <w:tcW w:type="dxa" w:w="2376"/>
            <w:vAlign w:val="center"/>
            <w:shd w:fill="F3F6F9"/>
          </w:tcPr>
          <w:p>
            <w:pPr>
              <w:pStyle w:val="Compact"/>
              <w:spacing w:after="20" w:before="20" w:line="280" w:lineRule="exact"/>
              <w:jc w:val="left"/>
            </w:pPr>
            <w:r>
              <w:rPr>
                <w:rFonts w:ascii="Arial" w:hAnsi="Arial"/>
                <w:color w:val="000000"/>
                <w:sz w:val="19"/>
              </w:rPr>
              <w:t xml:space="preserve">關卡 2 — 實質貢獻</w:t>
            </w:r>
          </w:p>
        </w:tc>
        <w:tc>
          <w:tcPr>
            <w:tcW w:type="dxa" w:w="2952"/>
            <w:vAlign w:val="center"/>
            <w:shd w:fill="F3F6F9"/>
          </w:tcPr>
          <w:p>
            <w:pPr>
              <w:pStyle w:val="Compact"/>
              <w:spacing w:after="20" w:before="20" w:line="280" w:lineRule="exact"/>
              <w:jc w:val="left"/>
            </w:pPr>
            <w:r>
              <w:rPr>
                <w:rFonts w:ascii="Arial" w:hAnsi="Arial"/>
                <w:color w:val="000000"/>
                <w:sz w:val="19"/>
              </w:rPr>
              <w:t xml:space="preserve">未評估</w:t>
            </w:r>
          </w:p>
        </w:tc>
        <w:tc>
          <w:tcPr>
            <w:tcW w:type="dxa" w:w="4464"/>
            <w:vAlign w:val="center"/>
            <w:shd w:fill="F3F6F9"/>
          </w:tcPr>
          <w:p>
            <w:pPr>
              <w:pStyle w:val="Compact"/>
              <w:spacing w:after="20" w:before="20" w:line="280" w:lineRule="exact"/>
              <w:jc w:val="left"/>
            </w:pPr>
            <w:r>
              <w:rPr>
                <w:rFonts w:ascii="Arial" w:hAnsi="Arial"/>
                <w:color w:val="000000"/>
                <w:sz w:val="19"/>
              </w:rPr>
              <w:t xml:space="preserve">未通過關卡 1</w:t>
            </w:r>
          </w:p>
        </w:tc>
      </w:tr>
      <w:tr>
        <w:trPr>
          <w:cantSplit/>
        </w:trPr>
        <w:tc>
          <w:tcPr>
            <w:tcW w:type="dxa" w:w="2376"/>
            <w:vAlign w:val="center"/>
            <w:shd w:fill="FFFFFF"/>
          </w:tcPr>
          <w:p>
            <w:pPr>
              <w:pStyle w:val="Compact"/>
              <w:spacing w:after="20" w:before="20" w:line="280" w:lineRule="exact"/>
              <w:jc w:val="left"/>
            </w:pPr>
            <w:r>
              <w:rPr>
                <w:rFonts w:ascii="Arial" w:hAnsi="Arial"/>
                <w:color w:val="000000"/>
                <w:sz w:val="19"/>
              </w:rPr>
              <w:t xml:space="preserve">關卡 3 — 可行性</w:t>
            </w:r>
          </w:p>
        </w:tc>
        <w:tc>
          <w:tcPr>
            <w:tcW w:type="dxa" w:w="2952"/>
            <w:vAlign w:val="center"/>
            <w:shd w:fill="FFFFFF"/>
          </w:tcPr>
          <w:p>
            <w:pPr>
              <w:pStyle w:val="Compact"/>
              <w:spacing w:after="20" w:before="20" w:line="280" w:lineRule="exact"/>
              <w:jc w:val="left"/>
            </w:pPr>
            <w:r>
              <w:rPr>
                <w:rFonts w:ascii="Arial" w:hAnsi="Arial"/>
                <w:color w:val="000000"/>
                <w:sz w:val="19"/>
              </w:rPr>
              <w:t xml:space="preserve">未評估</w:t>
            </w:r>
          </w:p>
        </w:tc>
        <w:tc>
          <w:tcPr>
            <w:tcW w:type="dxa" w:w="4464"/>
            <w:vAlign w:val="center"/>
            <w:shd w:fill="FFFFFF"/>
          </w:tcPr>
          <w:p>
            <w:pPr>
              <w:pStyle w:val="Compact"/>
              <w:spacing w:after="20" w:before="20" w:line="280" w:lineRule="exact"/>
              <w:jc w:val="left"/>
            </w:pPr>
            <w:r>
              <w:rPr>
                <w:rFonts w:ascii="Arial" w:hAnsi="Arial"/>
                <w:color w:val="000000"/>
                <w:sz w:val="19"/>
              </w:rPr>
              <w:t xml:space="preserve">未通過關卡 1</w:t>
            </w:r>
          </w:p>
        </w:tc>
      </w:tr>
      <w:tr>
        <w:trPr>
          <w:cantSplit/>
        </w:trPr>
        <w:tc>
          <w:tcPr>
            <w:tcW w:type="dxa" w:w="2376"/>
            <w:vAlign w:val="center"/>
            <w:shd w:fill="F3F6F9"/>
          </w:tcPr>
          <w:p>
            <w:pPr>
              <w:pStyle w:val="Compact"/>
              <w:spacing w:after="20" w:before="20" w:line="280" w:lineRule="exact"/>
              <w:jc w:val="left"/>
            </w:pPr>
            <w:r>
              <w:rPr>
                <w:rFonts w:ascii="Arial" w:hAnsi="Arial"/>
                <w:b/>
                <w:bCs/>
                <w:color w:val="000000"/>
                <w:sz w:val="19"/>
              </w:rPr>
              <w:t xml:space="preserve">歷史結論</w:t>
            </w:r>
          </w:p>
        </w:tc>
        <w:tc>
          <w:tcPr>
            <w:tcW w:type="dxa" w:w="2952"/>
            <w:vAlign w:val="center"/>
            <w:shd w:fill="F4DEDE"/>
          </w:tcPr>
          <w:p>
            <w:pPr>
              <w:pStyle w:val="Compact"/>
              <w:spacing w:after="20" w:before="20" w:line="280" w:lineRule="exact"/>
              <w:jc w:val="left"/>
            </w:pPr>
            <w:r>
              <w:rPr>
                <w:rFonts w:ascii="Arial" w:hAnsi="Arial"/>
                <w:b/>
                <w:bCs/>
                <w:color w:val="000000"/>
                <w:sz w:val="19"/>
              </w:rPr>
              <w:t xml:space="preserve">不予推進 — 維持現述</w:t>
            </w:r>
          </w:p>
        </w:tc>
        <w:tc>
          <w:tcPr>
            <w:tcW w:type="dxa" w:w="4464"/>
            <w:vAlign w:val="center"/>
            <w:shd w:fill="F3F6F9"/>
          </w:tcPr>
          <w:p>
            <w:pPr>
              <w:pStyle w:val="Compact"/>
              <w:spacing w:after="20" w:before="20" w:line="280" w:lineRule="exact"/>
              <w:jc w:val="left"/>
            </w:pPr>
            <w:r>
              <w:rPr>
                <w:rFonts w:ascii="Arial" w:hAnsi="Arial"/>
                <w:color w:val="000000"/>
                <w:sz w:val="19"/>
              </w:rPr>
              <w:t xml:space="preserve">廣泛的新穎性主張缺乏支持；未排除較窄的研究機會</w:t>
            </w:r>
          </w:p>
        </w:tc>
      </w:tr>
    </w:tbl>
    <w:p>
      <w:pPr>
        <w:pStyle w:val="BodyText"/>
        <w:keepNext/>
        <w:widowControl/>
      </w:pPr>
      <w:r>
        <w:rPr>
          <w:b/>
          <w:bCs/>
        </w:rPr>
        <w:t xml:space="preserve">候選主題 2 — 用於社會水文學中人類行為的 LLM 代理人</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376"/>
        <w:gridCol w:w="2952"/>
        <w:gridCol w:w="4464"/>
      </w:tblGrid>
      <w:tr>
        <w:trPr>
          <w:tblHeader w:val="on"/>
          <w:tblHeader/>
        </w:trPr>
        <w:tc>
          <w:tcPr>
            <w:tcW w:type="dxa" w:w="2376"/>
            <w:vAlign w:val="center"/>
            <w:shd w:fill="203B59"/>
          </w:tcPr>
          <w:p>
            <w:pPr>
              <w:pStyle w:val="Compact"/>
              <w:spacing w:after="20" w:before="20" w:line="280" w:lineRule="exact"/>
              <w:jc w:val="left"/>
            </w:pPr>
            <w:r>
              <w:rPr>
                <w:rFonts w:ascii="Arial" w:hAnsi="Arial"/>
                <w:b/>
                <w:color w:val="FFFFFF"/>
                <w:sz w:val="19"/>
              </w:rPr>
              <w:t xml:space="preserve">關卡</w:t>
            </w:r>
          </w:p>
        </w:tc>
        <w:tc>
          <w:tcPr>
            <w:tcW w:type="dxa" w:w="2952"/>
            <w:vAlign w:val="center"/>
            <w:shd w:fill="203B59"/>
          </w:tcPr>
          <w:p>
            <w:pPr>
              <w:pStyle w:val="Compact"/>
              <w:spacing w:after="20" w:before="20" w:line="280" w:lineRule="exact"/>
              <w:jc w:val="left"/>
            </w:pPr>
            <w:r>
              <w:rPr>
                <w:rFonts w:ascii="Arial" w:hAnsi="Arial"/>
                <w:b/>
                <w:color w:val="FFFFFF"/>
                <w:sz w:val="19"/>
              </w:rPr>
              <w:t xml:space="preserve">分數</w:t>
            </w:r>
          </w:p>
        </w:tc>
        <w:tc>
          <w:tcPr>
            <w:tcW w:type="dxa" w:w="4464"/>
            <w:vAlign w:val="center"/>
            <w:shd w:fill="203B59"/>
          </w:tcPr>
          <w:p>
            <w:pPr>
              <w:pStyle w:val="Compact"/>
              <w:spacing w:after="20" w:before="20" w:line="280" w:lineRule="exact"/>
              <w:jc w:val="left"/>
            </w:pPr>
            <w:r>
              <w:rPr>
                <w:rFonts w:ascii="Arial" w:hAnsi="Arial"/>
                <w:b/>
                <w:color w:val="FFFFFF"/>
                <w:sz w:val="19"/>
              </w:rPr>
              <w:t xml:space="preserve">理由</w:t>
            </w:r>
          </w:p>
        </w:tc>
      </w:tr>
      <w:tr>
        <w:trPr>
          <w:cantSplit/>
        </w:trPr>
        <w:tc>
          <w:tcPr>
            <w:tcW w:type="dxa" w:w="2376"/>
            <w:vAlign w:val="center"/>
            <w:shd w:fill="FFFFFF"/>
          </w:tcPr>
          <w:p>
            <w:pPr>
              <w:pStyle w:val="Compact"/>
              <w:spacing w:after="20" w:before="20" w:line="280" w:lineRule="exact"/>
              <w:jc w:val="left"/>
            </w:pPr>
            <w:r>
              <w:rPr>
                <w:rFonts w:ascii="Arial" w:hAnsi="Arial"/>
                <w:color w:val="000000"/>
                <w:sz w:val="19"/>
              </w:rPr>
              <w:t xml:space="preserve">關卡 1 — 缺口仍開放</w:t>
            </w:r>
          </w:p>
        </w:tc>
        <w:tc>
          <w:tcPr>
            <w:tcW w:type="dxa" w:w="2952"/>
            <w:vAlign w:val="center"/>
            <w:shd w:fill="FFFFFF"/>
          </w:tcPr>
          <w:p>
            <w:pPr>
              <w:pStyle w:val="Compact"/>
              <w:spacing w:after="20" w:before="20" w:line="280" w:lineRule="exact"/>
              <w:jc w:val="left"/>
            </w:pPr>
            <w:r>
              <w:rPr>
                <w:rFonts w:ascii="Arial" w:hAnsi="Arial"/>
                <w:color w:val="000000"/>
                <w:sz w:val="19"/>
              </w:rPr>
              <w:t xml:space="preserve">3/5 中立</w:t>
            </w:r>
          </w:p>
        </w:tc>
        <w:tc>
          <w:tcPr>
            <w:tcW w:type="dxa" w:w="4464"/>
            <w:vAlign w:val="center"/>
            <w:shd w:fill="FFFFFF"/>
          </w:tcPr>
          <w:p>
            <w:pPr>
              <w:pStyle w:val="Compact"/>
              <w:spacing w:after="20" w:before="20" w:line="280" w:lineRule="exact"/>
              <w:jc w:val="left"/>
            </w:pPr>
            <w:r>
              <w:rPr>
                <w:rFonts w:ascii="Arial" w:hAnsi="Arial"/>
                <w:color w:val="000000"/>
                <w:sz w:val="19"/>
              </w:rPr>
              <w:t xml:space="preserve">未決：有限文獻庫中未辨識出相符研究；檢索信心中等</w:t>
            </w:r>
          </w:p>
        </w:tc>
      </w:tr>
      <w:tr>
        <w:trPr>
          <w:cantSplit/>
        </w:trPr>
        <w:tc>
          <w:tcPr>
            <w:tcW w:type="dxa" w:w="2376"/>
            <w:vAlign w:val="center"/>
            <w:shd w:fill="F3F6F9"/>
          </w:tcPr>
          <w:p>
            <w:pPr>
              <w:pStyle w:val="Compact"/>
              <w:spacing w:after="20" w:before="20" w:line="280" w:lineRule="exact"/>
              <w:jc w:val="left"/>
            </w:pPr>
            <w:r>
              <w:rPr>
                <w:rFonts w:ascii="Arial" w:hAnsi="Arial"/>
                <w:color w:val="000000"/>
                <w:sz w:val="19"/>
              </w:rPr>
              <w:t xml:space="preserve">關卡 2 — 實質貢獻</w:t>
            </w:r>
          </w:p>
        </w:tc>
        <w:tc>
          <w:tcPr>
            <w:tcW w:type="dxa" w:w="2952"/>
            <w:vAlign w:val="center"/>
            <w:shd w:fill="F3F6F9"/>
          </w:tcPr>
          <w:p>
            <w:pPr>
              <w:pStyle w:val="Compact"/>
              <w:spacing w:after="20" w:before="20" w:line="280" w:lineRule="exact"/>
              <w:jc w:val="left"/>
            </w:pPr>
            <w:r>
              <w:rPr>
                <w:rFonts w:ascii="Arial" w:hAnsi="Arial"/>
                <w:color w:val="000000"/>
                <w:sz w:val="19"/>
              </w:rPr>
              <w:t xml:space="preserve">3/5 中立</w:t>
            </w:r>
          </w:p>
        </w:tc>
        <w:tc>
          <w:tcPr>
            <w:tcW w:type="dxa" w:w="4464"/>
            <w:vAlign w:val="center"/>
            <w:shd w:fill="F3F6F9"/>
          </w:tcPr>
          <w:p>
            <w:pPr>
              <w:pStyle w:val="Compact"/>
              <w:spacing w:after="20" w:before="20" w:line="280" w:lineRule="exact"/>
              <w:jc w:val="left"/>
            </w:pPr>
            <w:r>
              <w:rPr>
                <w:rFonts w:ascii="Arial" w:hAnsi="Arial"/>
                <w:color w:val="000000"/>
                <w:sz w:val="19"/>
              </w:rPr>
              <w:t xml:space="preserve">界線模糊 — 貢獻取決於驗證設計</w:t>
            </w:r>
          </w:p>
        </w:tc>
      </w:tr>
      <w:tr>
        <w:trPr>
          <w:cantSplit/>
        </w:trPr>
        <w:tc>
          <w:tcPr>
            <w:tcW w:type="dxa" w:w="2376"/>
            <w:vAlign w:val="center"/>
            <w:shd w:fill="FFFFFF"/>
          </w:tcPr>
          <w:p>
            <w:pPr>
              <w:pStyle w:val="Compact"/>
              <w:spacing w:after="20" w:before="20" w:line="280" w:lineRule="exact"/>
              <w:jc w:val="left"/>
            </w:pPr>
            <w:r>
              <w:rPr>
                <w:rFonts w:ascii="Arial" w:hAnsi="Arial"/>
                <w:color w:val="000000"/>
                <w:sz w:val="19"/>
              </w:rPr>
              <w:t xml:space="preserve">關卡 3 — 可行性</w:t>
            </w:r>
          </w:p>
        </w:tc>
        <w:tc>
          <w:tcPr>
            <w:tcW w:type="dxa" w:w="2952"/>
            <w:vAlign w:val="center"/>
            <w:shd w:fill="FFFFFF"/>
          </w:tcPr>
          <w:p>
            <w:pPr>
              <w:pStyle w:val="Compact"/>
              <w:spacing w:after="20" w:before="20" w:line="280" w:lineRule="exact"/>
              <w:jc w:val="left"/>
            </w:pPr>
            <w:r>
              <w:rPr>
                <w:rFonts w:ascii="Arial" w:hAnsi="Arial"/>
                <w:color w:val="000000"/>
                <w:sz w:val="19"/>
              </w:rPr>
              <w:t xml:space="preserve">3/5 中立</w:t>
            </w:r>
          </w:p>
        </w:tc>
        <w:tc>
          <w:tcPr>
            <w:tcW w:type="dxa" w:w="4464"/>
            <w:vAlign w:val="center"/>
            <w:shd w:fill="FFFFFF"/>
          </w:tcPr>
          <w:p>
            <w:pPr>
              <w:pStyle w:val="Compact"/>
              <w:spacing w:after="20" w:before="20" w:line="280" w:lineRule="exact"/>
              <w:jc w:val="left"/>
            </w:pPr>
            <w:r>
              <w:rPr>
                <w:rFonts w:ascii="Arial" w:hAnsi="Arial"/>
                <w:color w:val="000000"/>
                <w:sz w:val="19"/>
              </w:rPr>
              <w:t xml:space="preserve">僅為歷史估計；適用行為資料集的取得尚未驗證</w:t>
            </w:r>
          </w:p>
        </w:tc>
      </w:tr>
      <w:tr>
        <w:trPr>
          <w:cantSplit/>
        </w:trPr>
        <w:tc>
          <w:tcPr>
            <w:tcW w:type="dxa" w:w="2376"/>
            <w:vAlign w:val="center"/>
            <w:shd w:fill="F3F6F9"/>
          </w:tcPr>
          <w:p>
            <w:pPr>
              <w:pStyle w:val="Compact"/>
              <w:spacing w:after="20" w:before="20" w:line="280" w:lineRule="exact"/>
              <w:jc w:val="left"/>
            </w:pPr>
            <w:r>
              <w:rPr>
                <w:rFonts w:ascii="Arial" w:hAnsi="Arial"/>
                <w:b/>
                <w:bCs/>
                <w:color w:val="000000"/>
                <w:sz w:val="19"/>
              </w:rPr>
              <w:t xml:space="preserve">歷史結論</w:t>
            </w:r>
          </w:p>
        </w:tc>
        <w:tc>
          <w:tcPr>
            <w:tcW w:type="dxa" w:w="2952"/>
            <w:vAlign w:val="center"/>
            <w:shd w:fill="FFF3D6"/>
          </w:tcPr>
          <w:p>
            <w:pPr>
              <w:pStyle w:val="Compact"/>
              <w:spacing w:after="20" w:before="20" w:line="280" w:lineRule="exact"/>
              <w:jc w:val="left"/>
            </w:pPr>
            <w:r>
              <w:rPr>
                <w:rFonts w:ascii="Arial" w:hAnsi="Arial"/>
                <w:b/>
                <w:bCs/>
                <w:color w:val="000000"/>
                <w:sz w:val="19"/>
              </w:rPr>
              <w:t xml:space="preserve">值得推進 — 須其待決條件成立</w:t>
            </w:r>
          </w:p>
        </w:tc>
        <w:tc>
          <w:tcPr>
            <w:tcW w:type="dxa" w:w="4464"/>
            <w:vAlign w:val="center"/>
            <w:shd w:fill="F3F6F9"/>
          </w:tcPr>
          <w:p>
            <w:pPr>
              <w:pStyle w:val="Compact"/>
              <w:spacing w:after="20" w:before="20" w:line="280" w:lineRule="exact"/>
              <w:jc w:val="left"/>
            </w:pPr>
            <w:r>
              <w:rPr>
                <w:rFonts w:ascii="Arial" w:hAnsi="Arial"/>
                <w:color w:val="000000"/>
                <w:sz w:val="19"/>
              </w:rPr>
              <w:t xml:space="preserve">保留原始 conditional-go 以供追溯；中立分數不代表通過關卡或研究者已選定主題</w:t>
            </w:r>
          </w:p>
        </w:tc>
      </w:tr>
    </w:tbl>
    <w:bookmarkEnd w:id="22"/>
    <w:bookmarkStart w:id="23" w:name="證據基礎"/>
    <w:p>
      <w:pPr>
        <w:pStyle w:val="Heading2"/>
        <w:widowControl/>
      </w:pPr>
      <w:r>
        <w:rPr>
          <w:color w:val="000000"/>
        </w:rPr>
        <w:t xml:space="preserve">4. 證據基礎</w:t>
      </w:r>
    </w:p>
    <w:p>
      <w:pPr>
        <w:pStyle w:val="FirstParagraph"/>
        <w:keepNext/>
        <w:widowControl/>
      </w:pPr>
      <w:r>
        <w:rPr>
          <w:b/>
          <w:bCs/>
        </w:rPr>
        <w:t xml:space="preserve">檢索漏斗。</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6624"/>
        <w:gridCol w:w="3168"/>
      </w:tblGrid>
      <w:tr>
        <w:trPr>
          <w:tblHeader w:val="on"/>
          <w:tblHeader/>
        </w:trPr>
        <w:tc>
          <w:tcPr>
            <w:tcW w:type="dxa" w:w="6624"/>
            <w:vAlign w:val="center"/>
            <w:shd w:fill="203B59"/>
          </w:tcPr>
          <w:p>
            <w:pPr>
              <w:pStyle w:val="Compact"/>
              <w:spacing w:after="20" w:before="20" w:line="280" w:lineRule="exact"/>
              <w:jc w:val="left"/>
            </w:pPr>
            <w:r>
              <w:rPr>
                <w:rFonts w:ascii="Arial" w:hAnsi="Arial"/>
                <w:b/>
                <w:color w:val="FFFFFF"/>
                <w:sz w:val="20"/>
              </w:rPr>
              <w:t xml:space="preserve">階段</w:t>
            </w:r>
          </w:p>
        </w:tc>
        <w:tc>
          <w:tcPr>
            <w:tcW w:type="dxa" w:w="3168"/>
            <w:vAlign w:val="center"/>
            <w:shd w:fill="203B59"/>
          </w:tcPr>
          <w:p>
            <w:pPr>
              <w:pStyle w:val="Compact"/>
              <w:spacing w:after="20" w:before="20" w:line="280" w:lineRule="exact"/>
              <w:jc w:val="left"/>
            </w:pPr>
            <w:r>
              <w:rPr>
                <w:rFonts w:ascii="Arial" w:hAnsi="Arial"/>
                <w:b/>
                <w:color w:val="FFFFFF"/>
                <w:sz w:val="20"/>
              </w:rPr>
              <w:t xml:space="preserve">數量</w:t>
            </w:r>
          </w:p>
        </w:tc>
      </w:tr>
      <w:tr>
        <w:trPr>
          <w:cantSplit/>
        </w:trPr>
        <w:tc>
          <w:tcPr>
            <w:tcW w:type="dxa" w:w="6624"/>
            <w:vAlign w:val="center"/>
            <w:shd w:fill="FFFFFF"/>
          </w:tcPr>
          <w:p>
            <w:pPr>
              <w:pStyle w:val="Compact"/>
              <w:spacing w:after="20" w:before="20" w:line="280" w:lineRule="exact"/>
              <w:jc w:val="left"/>
            </w:pPr>
            <w:r>
              <w:rPr>
                <w:rFonts w:ascii="Arial" w:hAnsi="Arial"/>
                <w:color w:val="000000"/>
                <w:sz w:val="20"/>
              </w:rPr>
              <w:t xml:space="preserve">檢索所得 (6 種對抗式查詢語句)</w:t>
            </w:r>
          </w:p>
        </w:tc>
        <w:tc>
          <w:tcPr>
            <w:tcW w:type="dxa" w:w="3168"/>
            <w:vAlign w:val="center"/>
            <w:shd w:fill="FFFFFF"/>
          </w:tcPr>
          <w:p>
            <w:pPr>
              <w:pStyle w:val="Compact"/>
              <w:spacing w:after="20" w:before="20" w:line="280" w:lineRule="exact"/>
              <w:jc w:val="center"/>
            </w:pPr>
            <w:r>
              <w:rPr>
                <w:rFonts w:ascii="Arial" w:hAnsi="Arial"/>
                <w:color w:val="000000"/>
                <w:sz w:val="20"/>
              </w:rPr>
              <w:t xml:space="preserve">435 篇獨特論文</w:t>
            </w:r>
          </w:p>
        </w:tc>
      </w:tr>
      <w:tr>
        <w:trPr>
          <w:cantSplit/>
        </w:trPr>
        <w:tc>
          <w:tcPr>
            <w:tcW w:type="dxa" w:w="6624"/>
            <w:vAlign w:val="center"/>
            <w:shd w:fill="F3F6F9"/>
          </w:tcPr>
          <w:p>
            <w:pPr>
              <w:pStyle w:val="Compact"/>
              <w:spacing w:after="20" w:before="20" w:line="280" w:lineRule="exact"/>
              <w:jc w:val="left"/>
            </w:pPr>
            <w:r>
              <w:rPr>
                <w:rFonts w:ascii="Arial" w:hAnsi="Arial"/>
                <w:color w:val="000000"/>
                <w:sz w:val="20"/>
              </w:rPr>
              <w:t xml:space="preserve">送回進行相關性篩選</w:t>
            </w:r>
          </w:p>
        </w:tc>
        <w:tc>
          <w:tcPr>
            <w:tcW w:type="dxa" w:w="3168"/>
            <w:vAlign w:val="center"/>
            <w:shd w:fill="F3F6F9"/>
          </w:tcPr>
          <w:p>
            <w:pPr>
              <w:pStyle w:val="Compact"/>
              <w:spacing w:after="20" w:before="20" w:line="280" w:lineRule="exact"/>
              <w:jc w:val="center"/>
            </w:pPr>
            <w:r>
              <w:rPr>
                <w:rFonts w:ascii="Arial" w:hAnsi="Arial"/>
                <w:color w:val="000000"/>
                <w:sz w:val="20"/>
              </w:rPr>
              <w:t xml:space="preserve">25</w:t>
            </w:r>
          </w:p>
        </w:tc>
      </w:tr>
      <w:tr>
        <w:trPr>
          <w:cantSplit/>
        </w:trPr>
        <w:tc>
          <w:tcPr>
            <w:tcW w:type="dxa" w:w="6624"/>
            <w:vAlign w:val="center"/>
            <w:shd w:fill="FFFFFF"/>
          </w:tcPr>
          <w:p>
            <w:pPr>
              <w:pStyle w:val="Compact"/>
              <w:spacing w:after="20" w:before="20" w:line="280" w:lineRule="exact"/>
              <w:jc w:val="left"/>
            </w:pPr>
            <w:r>
              <w:rPr>
                <w:rFonts w:ascii="Arial" w:hAnsi="Arial"/>
                <w:color w:val="000000"/>
                <w:sz w:val="20"/>
              </w:rPr>
              <w:t xml:space="preserve">經相關性關卡判定為主題相關</w:t>
            </w:r>
          </w:p>
        </w:tc>
        <w:tc>
          <w:tcPr>
            <w:tcW w:type="dxa" w:w="3168"/>
            <w:vAlign w:val="center"/>
            <w:shd w:fill="FFFFFF"/>
          </w:tcPr>
          <w:p>
            <w:pPr>
              <w:pStyle w:val="Compact"/>
              <w:spacing w:after="20" w:before="20" w:line="280" w:lineRule="exact"/>
              <w:jc w:val="center"/>
            </w:pPr>
            <w:r>
              <w:rPr>
                <w:rFonts w:ascii="Arial" w:hAnsi="Arial"/>
                <w:color w:val="000000"/>
                <w:sz w:val="20"/>
              </w:rPr>
              <w:t xml:space="preserve">25</w:t>
            </w:r>
          </w:p>
        </w:tc>
      </w:tr>
      <w:tr>
        <w:trPr>
          <w:cantSplit/>
        </w:trPr>
        <w:tc>
          <w:tcPr>
            <w:tcW w:type="dxa" w:w="6624"/>
            <w:vAlign w:val="center"/>
            <w:shd w:fill="F3F6F9"/>
          </w:tcPr>
          <w:p>
            <w:pPr>
              <w:pStyle w:val="Compact"/>
              <w:spacing w:after="20" w:before="20" w:line="280" w:lineRule="exact"/>
              <w:jc w:val="left"/>
            </w:pPr>
            <w:r>
              <w:rPr>
                <w:rFonts w:ascii="Arial" w:hAnsi="Arial"/>
                <w:color w:val="000000"/>
                <w:sz w:val="20"/>
              </w:rPr>
              <w:t xml:space="preserve">選入先期技術文獻庫</w:t>
            </w:r>
          </w:p>
        </w:tc>
        <w:tc>
          <w:tcPr>
            <w:tcW w:type="dxa" w:w="3168"/>
            <w:vAlign w:val="center"/>
            <w:shd w:fill="F3F6F9"/>
          </w:tcPr>
          <w:p>
            <w:pPr>
              <w:pStyle w:val="Compact"/>
              <w:spacing w:after="20" w:before="20" w:line="280" w:lineRule="exact"/>
              <w:jc w:val="center"/>
            </w:pPr>
            <w:r>
              <w:rPr>
                <w:rFonts w:ascii="Arial" w:hAnsi="Arial"/>
                <w:color w:val="000000"/>
                <w:sz w:val="20"/>
              </w:rPr>
              <w:t xml:space="preserve">13</w:t>
            </w:r>
          </w:p>
        </w:tc>
      </w:tr>
    </w:tbl>
    <w:p>
      <w:pPr>
        <w:pStyle w:val="BodyText"/>
        <w:keepNext/>
        <w:widowControl/>
      </w:pPr>
      <w:r>
        <w:rPr>
          <w:b/>
          <w:bCs/>
        </w:rPr>
        <w:t xml:space="preserve">13 篇論文庫的先期技術分類。</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5328"/>
        <w:gridCol w:w="4464"/>
      </w:tblGrid>
      <w:tr>
        <w:trPr>
          <w:tblHeader w:val="on"/>
          <w:tblHeader/>
        </w:trPr>
        <w:tc>
          <w:tcPr>
            <w:tcW w:type="dxa" w:w="5328"/>
            <w:vAlign w:val="center"/>
            <w:shd w:fill="203B59"/>
          </w:tcPr>
          <w:p>
            <w:pPr>
              <w:pStyle w:val="Compact"/>
              <w:spacing w:after="20" w:before="20" w:line="280" w:lineRule="exact"/>
              <w:jc w:val="left"/>
            </w:pPr>
            <w:r>
              <w:rPr>
                <w:rFonts w:ascii="Arial" w:hAnsi="Arial"/>
                <w:b/>
                <w:color w:val="FFFFFF"/>
                <w:sz w:val="20"/>
              </w:rPr>
              <w:t xml:space="preserve">依證據類型</w:t>
            </w:r>
          </w:p>
        </w:tc>
        <w:tc>
          <w:tcPr>
            <w:tcW w:type="dxa" w:w="4464"/>
            <w:vAlign w:val="center"/>
            <w:shd w:fill="203B59"/>
          </w:tcPr>
          <w:p>
            <w:pPr>
              <w:pStyle w:val="Compact"/>
              <w:spacing w:after="20" w:before="20" w:line="280" w:lineRule="exact"/>
              <w:jc w:val="left"/>
            </w:pPr>
            <w:r>
              <w:rPr>
                <w:rFonts w:ascii="Arial" w:hAnsi="Arial"/>
                <w:b/>
                <w:color w:val="FFFFFF"/>
                <w:sz w:val="20"/>
              </w:rPr>
              <w:t xml:space="preserve">依候選主題</w:t>
            </w:r>
          </w:p>
        </w:tc>
      </w:tr>
      <w:tr>
        <w:trPr>
          <w:cantSplit/>
        </w:trPr>
        <w:tc>
          <w:tcPr>
            <w:tcW w:type="dxa" w:w="5328"/>
            <w:vAlign w:val="center"/>
            <w:shd w:fill="FFFFFF"/>
          </w:tcPr>
          <w:p>
            <w:pPr>
              <w:pStyle w:val="Compact"/>
              <w:spacing w:after="20" w:before="20" w:line="280" w:lineRule="exact"/>
              <w:jc w:val="left"/>
            </w:pPr>
            <w:r>
              <w:rPr>
                <w:rFonts w:ascii="Arial" w:hAnsi="Arial"/>
                <w:color w:val="000000"/>
                <w:sz w:val="20"/>
              </w:rPr>
              <w:t xml:space="preserve">6 篇原創研究, 2 篇綜述, 1 篇文獻調查, 1 篇觀點論文, 1 篇警示論文, 2 篇相近類比</w:t>
            </w:r>
          </w:p>
        </w:tc>
        <w:tc>
          <w:tcPr>
            <w:tcW w:type="dxa" w:w="4464"/>
            <w:vAlign w:val="center"/>
            <w:shd w:fill="FFFFFF"/>
          </w:tcPr>
          <w:p>
            <w:pPr>
              <w:pStyle w:val="Compact"/>
              <w:spacing w:after="20" w:before="20" w:line="280" w:lineRule="exact"/>
              <w:jc w:val="left"/>
            </w:pPr>
            <w:r>
              <w:rPr>
                <w:rFonts w:ascii="Arial" w:hAnsi="Arial"/>
                <w:color w:val="000000"/>
                <w:sz w:val="20"/>
              </w:rPr>
              <w:t xml:space="preserve">9 篇關於候選主題 1, 4 篇關於候選主題 2</w:t>
            </w:r>
          </w:p>
        </w:tc>
      </w:tr>
    </w:tbl>
    <w:p>
      <w:pPr>
        <w:pStyle w:val="BodyText"/>
        <w:keepNext/>
        <w:widowControl/>
      </w:pPr>
      <w:r>
        <w:rPr>
          <w:b/>
          <w:bCs/>
        </w:rPr>
        <w:t xml:space="preserve">最接近的先期研究。</w:t>
      </w:r>
    </w:p>
    <w:p>
      <w:pPr>
        <w:pStyle w:val="Compact"/>
        <w:widowControl/>
        <w:numPr>
          <w:ilvl w:val="0"/>
          <w:numId w:val="1001"/>
        </w:numPr>
      </w:pPr>
      <w:r>
        <w:rPr>
          <w:b/>
          <w:bCs/>
        </w:rPr>
        <w:t xml:space="preserve">候選主題 1：</w:t>
      </w:r>
      <w:r>
        <w:t xml:space="preserve"> </w:t>
      </w:r>
      <w:r>
        <w:t xml:space="preserve">此領域已被廣泛研究。關鍵項目包括：一個水文學專屬的 LLM 基準資料集 (Kizilkaya et al. 2025,</w:t>
      </w:r>
      <w:r>
        <w:t xml:space="preserve"> </w:t>
      </w:r>
      <w:r>
        <w:rPr>
          <w:i/>
          <w:iCs/>
        </w:rPr>
        <w:t xml:space="preserve">HydroLLM</w:t>
      </w:r>
      <w:r>
        <w:t xml:space="preserve"> </w:t>
      </w:r>
      <w:r>
        <w:t xml:space="preserve">— 原創研究)；一篇關於 LLM 在水文學中應用的文獻計量分析 (Sajja et al. 2025 — 綜述)；一篇關於 AI 在水資源規範中應用的系統性綜述 (Wang et al. 2026 — 綜述)；為環境問題微調的 LLM (Zhang et al. 2025 — 原創研究)；以及對話式水質 LLM 代理人 (Ravindran et al. 2025 — 原創研究)。基準與文獻計量研究顯示此廣泛領域已有研究，不能據此證明所有較窄問題都已被研究。</w:t>
      </w:r>
    </w:p>
    <w:p>
      <w:pPr>
        <w:pStyle w:val="Compact"/>
        <w:widowControl/>
        <w:numPr>
          <w:ilvl w:val="0"/>
          <w:numId w:val="1001"/>
        </w:numPr>
      </w:pPr>
      <w:r>
        <w:rPr>
          <w:b/>
          <w:bCs/>
        </w:rPr>
        <w:t xml:space="preserve">候選主題 2：</w:t>
      </w:r>
      <w:r>
        <w:t xml:space="preserve"> </w:t>
      </w:r>
      <w:r>
        <w:t xml:space="preserve">選入的 13 篇文獻中，未辨識出在社會水文學中建立校準過 LLM 代理人的相符實作。領域內最接近的研究是 Batista et al. 2025 (相近類比 — 一個為水資源治理模型進行</w:t>
      </w:r>
      <w:r>
        <w:rPr>
          <w:i/>
          <w:iCs/>
        </w:rPr>
        <w:t xml:space="preserve">情感</w:t>
      </w:r>
      <w:r>
        <w:t xml:space="preserve">分析的 LLM，而非基於代理人的決策模型)。 Schück (2026) 是主要的警示論文。Braga et al. 2025 和 Khaki et al. 2025 是領域外的 LLM 人類行為類比研究。此文獻庫中的直接證據薄弱；更廣泛的文獻涵蓋度與目前的開放性仍未解決。</w:t>
      </w:r>
    </w:p>
    <w:bookmarkEnd w:id="23"/>
    <w:bookmarkStart w:id="27" w:name="逐關卡評估"/>
    <w:p>
      <w:pPr>
        <w:pStyle w:val="Heading2"/>
        <w:widowControl/>
      </w:pPr>
      <w:r>
        <w:rPr>
          <w:color w:val="000000"/>
        </w:rPr>
        <w:t xml:space="preserve">5. 逐關卡評估</w:t>
      </w:r>
    </w:p>
    <w:bookmarkStart w:id="24" w:name="關卡-1-缺口仍開放"/>
    <w:p>
      <w:pPr>
        <w:pStyle w:val="Heading3"/>
        <w:widowControl/>
      </w:pPr>
      <w:r>
        <w:rPr>
          <w:color w:val="000000"/>
        </w:rPr>
        <w:t xml:space="preserve">關卡 1 — 缺口仍開放</w:t>
      </w:r>
    </w:p>
    <w:p>
      <w:pPr>
        <w:pStyle w:val="Compact"/>
        <w:widowControl/>
        <w:numPr>
          <w:ilvl w:val="0"/>
          <w:numId w:val="1002"/>
        </w:numPr>
      </w:pPr>
      <w:r>
        <w:rPr>
          <w:b/>
          <w:bCs/>
        </w:rPr>
        <w:t xml:space="preserve">分數。</w:t>
      </w:r>
      <w:r>
        <w:t xml:space="preserve"> </w:t>
      </w:r>
      <w:r>
        <w:t xml:space="preserve">候選主題 1：1/5 (強烈不同意)。候選主題 2：3/5 (中立)。</w:t>
      </w:r>
    </w:p>
    <w:p>
      <w:pPr>
        <w:pStyle w:val="Compact"/>
        <w:widowControl/>
        <w:numPr>
          <w:ilvl w:val="0"/>
          <w:numId w:val="1002"/>
        </w:numPr>
      </w:pPr>
      <w:r>
        <w:rPr>
          <w:b/>
          <w:bCs/>
        </w:rPr>
        <w:t xml:space="preserve">證據。</w:t>
      </w:r>
      <w:r>
        <w:t xml:space="preserve"> </w:t>
      </w:r>
      <w:r>
        <w:t xml:space="preserve">對於候選主題 1，此領域已有一個基準、一篇系統性綜述、一篇文獻計量分析，以及原創的微調和對話式代理人研究 — 這些檢索所得研究反駁了整個領域尚未被嘗試的主張。對於候選主題 2，選入文獻中未辨識出完成校準過 LLM 代理人於社會水文學之任務的論文；只有一篇領域內的相近類比 (Batista 2025, 情感分析) 和一篇警示論文 (Schück 2026) 與此議題相關。</w:t>
      </w:r>
    </w:p>
    <w:p>
      <w:pPr>
        <w:pStyle w:val="Compact"/>
        <w:widowControl/>
        <w:numPr>
          <w:ilvl w:val="0"/>
          <w:numId w:val="1002"/>
        </w:numPr>
      </w:pPr>
      <w:r>
        <w:rPr>
          <w:b/>
          <w:bCs/>
        </w:rPr>
        <w:t xml:space="preserve">詮釋。</w:t>
      </w:r>
      <w:r>
        <w:t xml:space="preserve"> </w:t>
      </w:r>
      <w:r>
        <w:t xml:space="preserve">候選主題 1 的廣泛新穎性主張缺乏支持；較窄任務能否提供貢獻，需另行評估。候選主題 2 在該次中等信心的歷史檢索後，仍是缺口假設，而非已確認開放的缺口。</w:t>
      </w:r>
    </w:p>
    <w:p>
      <w:pPr>
        <w:pStyle w:val="Compact"/>
        <w:widowControl/>
        <w:numPr>
          <w:ilvl w:val="0"/>
          <w:numId w:val="1002"/>
        </w:numPr>
      </w:pPr>
      <w:r>
        <w:rPr>
          <w:b/>
          <w:bCs/>
        </w:rPr>
        <w:t xml:space="preserve">風險。</w:t>
      </w:r>
      <w:r>
        <w:t xml:space="preserve"> </w:t>
      </w:r>
      <w:r>
        <w:t xml:space="preserve">執行期間 Semantic Scholar 受到速率限制，因此可能遺漏了與候選主題 2 相關的論文。「缺席於此文獻庫」不等於「開放」的證明。</w:t>
      </w:r>
    </w:p>
    <w:p>
      <w:pPr>
        <w:pStyle w:val="Compact"/>
        <w:widowControl/>
        <w:numPr>
          <w:ilvl w:val="0"/>
          <w:numId w:val="1002"/>
        </w:numPr>
      </w:pPr>
      <w:r>
        <w:rPr>
          <w:b/>
          <w:bCs/>
        </w:rPr>
        <w:t xml:space="preserve">所需行動。</w:t>
      </w:r>
      <w:r>
        <w:t xml:space="preserve"> </w:t>
      </w:r>
      <w:r>
        <w:t xml:space="preserve">在提出候選主題 2 目前開放性的主張之前，需啟用 Semantic Scholar API 金鑰重新執行檢索並評估涵蓋度；新增後端不保證完整召回。</w:t>
      </w:r>
    </w:p>
    <w:bookmarkEnd w:id="24"/>
    <w:bookmarkStart w:id="25" w:name="關卡-2-實質貢獻"/>
    <w:p>
      <w:pPr>
        <w:pStyle w:val="Heading3"/>
        <w:widowControl/>
      </w:pPr>
      <w:r>
        <w:rPr>
          <w:color w:val="000000"/>
        </w:rPr>
        <w:t xml:space="preserve">關卡 2 — 實質貢獻</w:t>
      </w:r>
    </w:p>
    <w:p>
      <w:pPr>
        <w:pStyle w:val="Compact"/>
        <w:widowControl/>
        <w:numPr>
          <w:ilvl w:val="0"/>
          <w:numId w:val="1003"/>
        </w:numPr>
      </w:pPr>
      <w:r>
        <w:rPr>
          <w:b/>
          <w:bCs/>
        </w:rPr>
        <w:t xml:space="preserve">分數。</w:t>
      </w:r>
      <w:r>
        <w:t xml:space="preserve"> </w:t>
      </w:r>
      <w:r>
        <w:t xml:space="preserve">候選主題 1：未評估 (未通過關卡 1)。候選主題 2：3/5 (中立)。</w:t>
      </w:r>
    </w:p>
    <w:p>
      <w:pPr>
        <w:pStyle w:val="Compact"/>
        <w:widowControl/>
        <w:numPr>
          <w:ilvl w:val="0"/>
          <w:numId w:val="1003"/>
        </w:numPr>
      </w:pPr>
      <w:r>
        <w:rPr>
          <w:b/>
          <w:bCs/>
        </w:rPr>
        <w:t xml:space="preserve">證據。</w:t>
      </w:r>
      <w:r>
        <w:t xml:space="preserve"> </w:t>
      </w:r>
      <w:r>
        <w:t xml:space="preserve">有限文獻庫中未辨識出已放棄的嘗試。Schück (2026) 是一篇經同儕審查的觀點論文，其前提正是一個持續存在的警示。Batista (2025) 是領域內最接近的先期研究，使用 LLM 於水資源治理的人類信號，但其為情感分析，而非基於代理人的決策模型。</w:t>
      </w:r>
    </w:p>
    <w:p>
      <w:pPr>
        <w:pStyle w:val="Compact"/>
        <w:widowControl/>
        <w:numPr>
          <w:ilvl w:val="0"/>
          <w:numId w:val="1003"/>
        </w:numPr>
      </w:pPr>
      <w:r>
        <w:rPr>
          <w:b/>
          <w:bCs/>
        </w:rPr>
        <w:t xml:space="preserve">詮釋。</w:t>
      </w:r>
      <w:r>
        <w:t xml:space="preserve"> </w:t>
      </w:r>
      <w:r>
        <w:t xml:space="preserve">候選主題 2 預期貢獻的是</w:t>
      </w:r>
      <w:r>
        <w:rPr>
          <w:b/>
          <w:bCs/>
        </w:rPr>
        <w:t xml:space="preserve">一種用 LLM 代理人來代表家戶用水調適決策的已驗證方法</w:t>
      </w:r>
      <w:r>
        <w:t xml:space="preserve"> </w:t>
      </w:r>
      <w:r>
        <w:t xml:space="preserve">— 這些代理人的選擇經校準，並與觀察到的調適行為進行比對測試，可作為社會水文學模型的行為層。這是預期的貢獻，尚非已完成的驗證結果。其價值取決於行為表徵，而非「LLM 代理人應用於水資源」這個廣泛標籤。創新性屬界線模糊；驗證要求是能將此研究從延伸性工作提升為新能力的關鍵。</w:t>
      </w:r>
    </w:p>
    <w:p>
      <w:pPr>
        <w:pStyle w:val="Compact"/>
        <w:widowControl/>
        <w:numPr>
          <w:ilvl w:val="0"/>
          <w:numId w:val="1003"/>
        </w:numPr>
      </w:pPr>
      <w:r>
        <w:rPr>
          <w:b/>
          <w:bCs/>
        </w:rPr>
        <w:t xml:space="preserve">風險。</w:t>
      </w:r>
      <w:r>
        <w:t xml:space="preserve"> </w:t>
      </w:r>
      <w:r>
        <w:rPr>
          <w:b/>
          <w:bCs/>
        </w:rPr>
        <w:t xml:space="preserve">構念效度</w:t>
      </w:r>
      <w:r>
        <w:t xml:space="preserve"> </w:t>
      </w:r>
      <w:r>
        <w:t xml:space="preserve">— LLM 生成的行為是否忠實地代表真實的人類用水決策，或僅是看似合理。這正是 Schück 提出的風險。</w:t>
      </w:r>
    </w:p>
    <w:p>
      <w:pPr>
        <w:pStyle w:val="Compact"/>
        <w:widowControl/>
        <w:numPr>
          <w:ilvl w:val="0"/>
          <w:numId w:val="1003"/>
        </w:numPr>
      </w:pPr>
      <w:r>
        <w:rPr>
          <w:b/>
          <w:bCs/>
        </w:rPr>
        <w:t xml:space="preserve">所需行動。</w:t>
      </w:r>
      <w:r>
        <w:t xml:space="preserve"> </w:t>
      </w:r>
      <w:r>
        <w:t xml:space="preserve">提案必須滿足的最低驗證草圖：行為目標 = 觀察到的家戶調適決策（例如，家戶是否採取防洪措施或在缺水時改變用水行為）；基線 = 傳統的離散選擇模型或規則式 ABM 代理人；留出測試 = 在 LLM 代理人未經調校的留出家戶集合上預測決策；研究必須克服的主要失敗模式 = 看似合理但與母體不符的行為。</w:t>
      </w:r>
    </w:p>
    <w:bookmarkEnd w:id="25"/>
    <w:bookmarkStart w:id="26" w:name="關卡-3-可行性"/>
    <w:p>
      <w:pPr>
        <w:pStyle w:val="Heading3"/>
        <w:widowControl/>
      </w:pPr>
      <w:r>
        <w:rPr>
          <w:color w:val="000000"/>
        </w:rPr>
        <w:t xml:space="preserve">關卡 3 — 可行性</w:t>
      </w:r>
    </w:p>
    <w:p>
      <w:pPr>
        <w:pStyle w:val="Compact"/>
        <w:widowControl/>
        <w:numPr>
          <w:ilvl w:val="0"/>
          <w:numId w:val="1004"/>
        </w:numPr>
      </w:pPr>
      <w:r>
        <w:rPr>
          <w:b/>
          <w:bCs/>
        </w:rPr>
        <w:t xml:space="preserve">分數。</w:t>
      </w:r>
      <w:r>
        <w:t xml:space="preserve"> </w:t>
      </w:r>
      <w:r>
        <w:t xml:space="preserve">候選主題 1：未評估 (未通過關卡 1)。候選主題 2：3/5 (中立)。</w:t>
      </w:r>
    </w:p>
    <w:p>
      <w:pPr>
        <w:pStyle w:val="Compact"/>
        <w:widowControl/>
        <w:numPr>
          <w:ilvl w:val="0"/>
          <w:numId w:val="1004"/>
        </w:numPr>
      </w:pPr>
      <w:r>
        <w:rPr>
          <w:b/>
          <w:bCs/>
        </w:rPr>
        <w:t xml:space="preserve">歷史可行性假設。</w:t>
      </w:r>
      <w:r>
        <w:t xml:space="preserve"> </w:t>
      </w:r>
      <w:r>
        <w:t xml:space="preserve">原紀錄將家戶用水與調適行為資料描述為部分公開、水文資料為大多公開，並將 LLM API 描述為可按用量付費取得。本備忘錄未驗證資料適用性、存取權或目前費用。基線模型 (離散選擇模型 / 規則式 ABM) 是標準的。家戶行為資料涉及隱私與同意限制 — 目標性調查需倫理審查批准。再現性是一項隱憂：LLM 輸出依賴外部 API 模型。一篇碩士論文規模的專案，適合一個區域、數百家戶的行為資料、一個社會水文學耦合，大約需 12–18 個月的工作；原始 LLM API 成本估計為數百美元。這些範圍、時程與費用均為歷史規劃假設，不代表已證實的可行性或目前報價。</w:t>
      </w:r>
    </w:p>
    <w:p>
      <w:pPr>
        <w:pStyle w:val="Compact"/>
        <w:widowControl/>
        <w:numPr>
          <w:ilvl w:val="0"/>
          <w:numId w:val="1004"/>
        </w:numPr>
      </w:pPr>
      <w:r>
        <w:rPr>
          <w:b/>
          <w:bCs/>
        </w:rPr>
        <w:t xml:space="preserve">詮釋。</w:t>
      </w:r>
      <w:r>
        <w:t xml:space="preserve"> </w:t>
      </w:r>
      <w:r>
        <w:rPr>
          <w:b/>
          <w:bCs/>
        </w:rPr>
        <w:t xml:space="preserve">主要限制</w:t>
      </w:r>
      <w:r>
        <w:t xml:space="preserve">是行為驗證資料集。歷史評估支持在取得適用資料並完成驗證的條件下發展提案。論文可行性仍未驗證：資料再利用、初級資料蒐集、倫理要求、資源及時程均需明確檢核。若需初級資料蒐集，依原規劃估計，可能佔據第一年的主要時間。</w:t>
      </w:r>
    </w:p>
    <w:p>
      <w:pPr>
        <w:pStyle w:val="Compact"/>
        <w:widowControl/>
        <w:numPr>
          <w:ilvl w:val="0"/>
          <w:numId w:val="1004"/>
        </w:numPr>
      </w:pPr>
      <w:r>
        <w:rPr>
          <w:b/>
          <w:bCs/>
        </w:rPr>
        <w:t xml:space="preserve">風險。</w:t>
      </w:r>
      <w:r>
        <w:t xml:space="preserve"> </w:t>
      </w:r>
      <w:r>
        <w:t xml:space="preserve">家戶行為資料的隱私與同意限制，加上再現性 — LLM 代理人輸出依賴可能改變或淘汰的外部 API 模型。</w:t>
      </w:r>
    </w:p>
    <w:p>
      <w:pPr>
        <w:pStyle w:val="Compact"/>
        <w:widowControl/>
        <w:numPr>
          <w:ilvl w:val="0"/>
          <w:numId w:val="1004"/>
        </w:numPr>
      </w:pPr>
      <w:r>
        <w:rPr>
          <w:b/>
          <w:bCs/>
        </w:rPr>
        <w:t xml:space="preserve">所需行動。</w:t>
      </w:r>
      <w:r>
        <w:t xml:space="preserve"> </w:t>
      </w:r>
      <w:r>
        <w:t xml:space="preserve">找出一可重複使用的觀察行為資料集 (一個值得先查核的線索：Jiang et al. 2026 為華北平原建立了包含政策情境的社會水文學模型)。若無，則規劃一個符合專案時程並包含倫理審查批准的初級資料蒐集計畫。鎖定 LLM 模型版本並存檔提示與輸出以確保再現性。</w:t>
      </w:r>
    </w:p>
    <w:bookmarkEnd w:id="26"/>
    <w:bookmarkEnd w:id="27"/>
    <w:bookmarkStart w:id="28" w:name="風險與升級否決測試"/>
    <w:p>
      <w:pPr>
        <w:pStyle w:val="Heading2"/>
        <w:widowControl/>
      </w:pPr>
      <w:r>
        <w:rPr>
          <w:color w:val="000000"/>
        </w:rPr>
        <w:t xml:space="preserve">6. 風險與升級／否決測試</w:t>
      </w:r>
    </w:p>
    <w:p>
      <w:pPr>
        <w:pStyle w:val="FirstParagraph"/>
        <w:keepNext/>
        <w:widowControl/>
      </w:pPr>
      <w:r>
        <w:rPr>
          <w:b/>
          <w:bCs/>
        </w:rPr>
        <w:t xml:space="preserve">已識別風險。</w:t>
      </w:r>
    </w:p>
    <w:p>
      <w:pPr>
        <w:pStyle w:val="Compact"/>
        <w:widowControl/>
        <w:numPr>
          <w:ilvl w:val="0"/>
          <w:numId w:val="1005"/>
        </w:numPr>
      </w:pPr>
      <w:r>
        <w:rPr>
          <w:b/>
          <w:bCs/>
        </w:rPr>
        <w:t xml:space="preserve">構念效度風險</w:t>
      </w:r>
      <w:r>
        <w:t xml:space="preserve"> </w:t>
      </w:r>
      <w:r>
        <w:t xml:space="preserve">— LLM 生成的行為是否忠實地代表真實的人類用水決策，或僅是看似合理；這正是 Schück (2026) 針對候選主題 2 所採方法提出的風險。</w:t>
      </w:r>
    </w:p>
    <w:p>
      <w:pPr>
        <w:pStyle w:val="Compact"/>
        <w:widowControl/>
        <w:numPr>
          <w:ilvl w:val="0"/>
          <w:numId w:val="1005"/>
        </w:numPr>
      </w:pPr>
      <w:r>
        <w:rPr>
          <w:b/>
          <w:bCs/>
        </w:rPr>
        <w:t xml:space="preserve">資料集限制風險</w:t>
      </w:r>
      <w:r>
        <w:t xml:space="preserve"> </w:t>
      </w:r>
      <w:r>
        <w:t xml:space="preserve">— 行為驗證資料集是候選主題 2 可行性的主要限制；若找不到可重複使用的資料集，初級資料蒐集將佔據主要時程。</w:t>
      </w:r>
    </w:p>
    <w:p>
      <w:pPr>
        <w:pStyle w:val="Compact"/>
        <w:widowControl/>
        <w:numPr>
          <w:ilvl w:val="0"/>
          <w:numId w:val="1005"/>
        </w:numPr>
      </w:pPr>
      <w:r>
        <w:rPr>
          <w:b/>
          <w:bCs/>
        </w:rPr>
        <w:t xml:space="preserve">創新性風險</w:t>
      </w:r>
      <w:r>
        <w:t xml:space="preserve"> </w:t>
      </w:r>
      <w:r>
        <w:t xml:space="preserve">— 候選主題 2 介於新能力與延伸性工作之間的界線；Batista 2025 是一個較弱的已實現形式 (用於水資源治理的 LLM 情感分析)，專案必須超越之。</w:t>
      </w:r>
    </w:p>
    <w:p>
      <w:pPr>
        <w:pStyle w:val="Compact"/>
        <w:widowControl/>
        <w:numPr>
          <w:ilvl w:val="0"/>
          <w:numId w:val="1005"/>
        </w:numPr>
      </w:pPr>
      <w:r>
        <w:rPr>
          <w:b/>
          <w:bCs/>
        </w:rPr>
        <w:t xml:space="preserve">再現性風險</w:t>
      </w:r>
      <w:r>
        <w:t xml:space="preserve"> </w:t>
      </w:r>
      <w:r>
        <w:t xml:space="preserve">— LLM 輸出依賴外部 API 模型；設計必須鎖定模型版本並存檔提示與輸出，以便在 API 模型改變或淘汰時能重新執行研究。</w:t>
      </w:r>
    </w:p>
    <w:p>
      <w:pPr>
        <w:pStyle w:val="FirstParagraph"/>
        <w:widowControl/>
      </w:pPr>
      <w:r>
        <w:rPr>
          <w:b/>
          <w:bCs/>
        </w:rPr>
        <w:t xml:space="preserve">升級／否決測試 — 候選主題 2：用於社會水文學中人類行為的 LLM 代理人。</w:t>
      </w:r>
      <w:r>
        <w:t xml:space="preserve"> </w:t>
      </w:r>
      <w:r>
        <w:t xml:space="preserve">歷史條件式建議取決於以下</w:t>
      </w:r>
      <w:r>
        <w:rPr>
          <w:b/>
          <w:bCs/>
        </w:rPr>
        <w:t xml:space="preserve">所有</w:t>
      </w:r>
      <w:r>
        <w:t xml:space="preserve">檢核項目。此處未記錄檢核已完成；即使條件成立，仍需研究者明確做出選題決定。</w:t>
      </w:r>
    </w:p>
    <w:p>
      <w:pPr>
        <w:pStyle w:val="Compact"/>
        <w:widowControl/>
        <w:numPr>
          <w:ilvl w:val="0"/>
          <w:numId w:val="1006"/>
        </w:numPr>
      </w:pPr>
      <w:r>
        <w:t xml:space="preserve">啟用 Semantic Scholar，擴大檢索並記錄涵蓋度及更新後的篩選，確認是否已有研究在社會水文學中建立校準過的 LLM 代理人。未找到相符研究僅支持有限範圍內的未發現主張，不能證明缺口開放。</w:t>
      </w:r>
    </w:p>
    <w:p>
      <w:pPr>
        <w:pStyle w:val="Compact"/>
        <w:widowControl/>
        <w:numPr>
          <w:ilvl w:val="0"/>
          <w:numId w:val="1006"/>
        </w:numPr>
      </w:pPr>
      <w:r>
        <w:t xml:space="preserve">一項先導研究產出留出測試驗證結果，其中 LLM 代理人預測觀察到的家戶調適決策的表現，至少與在相同留出集合上的離散選擇或規則式 ABM 基線相當。</w:t>
      </w:r>
    </w:p>
    <w:p>
      <w:pPr>
        <w:pStyle w:val="Compact"/>
        <w:widowControl/>
        <w:numPr>
          <w:ilvl w:val="0"/>
          <w:numId w:val="1006"/>
        </w:numPr>
      </w:pPr>
      <w:r>
        <w:t xml:space="preserve">已找到一可重複使用的觀察行為資料集，或已備妥一份符合專案時程並包含倫理審查批准的初級資料蒐集計畫。</w:t>
      </w:r>
    </w:p>
    <w:p>
      <w:pPr>
        <w:pStyle w:val="FirstParagraph"/>
        <w:widowControl/>
      </w:pPr>
      <w:r>
        <w:t xml:space="preserve">歷史否決條件包括貢獻已被相符研究實現、校準或簡單基線比較失敗，以及範圍內無法取得行為資料集。若出現這類證據，研究者應停止或縮小候選主題。僅找到相關論文不足以排除不同的貢獻，仍須比較實際任務與證據。</w:t>
      </w:r>
    </w:p>
    <w:p>
      <w:pPr>
        <w:pStyle w:val="BodyText"/>
        <w:widowControl/>
      </w:pPr>
      <w:r>
        <w:rPr>
          <w:b/>
          <w:bCs/>
        </w:rPr>
        <w:t xml:space="preserve">補救路徑 — 候選主題 1：LLM 驅動的水資源管理。</w:t>
      </w:r>
      <w:r>
        <w:t xml:space="preserve"> </w:t>
      </w:r>
      <w:r>
        <w:t xml:space="preserve">文獻庫反駁了整個領域尚未被嘗試的廣泛主張，但某個特定的研究不足子問題仍可能存在 — 例如，現有基準和綜述文獻未涵蓋的特定水資源管理任務。要挽救此主題，需要針對該子問題而非廣泛領域進行全新的、更窄的檢索。</w:t>
      </w:r>
    </w:p>
    <w:bookmarkEnd w:id="28"/>
    <w:bookmarkStart w:id="29" w:name="建議的下一步"/>
    <w:p>
      <w:pPr>
        <w:pStyle w:val="Heading2"/>
        <w:widowControl/>
      </w:pPr>
      <w:r>
        <w:rPr>
          <w:color w:val="000000"/>
        </w:rPr>
        <w:t xml:space="preserve">7. 建議的下一步</w:t>
      </w:r>
    </w:p>
    <w:p>
      <w:pPr>
        <w:pStyle w:val="FirstParagraph"/>
        <w:widowControl/>
      </w:pPr>
      <w:r>
        <w:t xml:space="preserve">歷史篩選建議是不以原述形式推進廣泛的「LLM 驅動的水資源管理」主題。檢索所得的基準、系統性綜述與文獻計量分析削弱了整個應用領域尚未被嘗試的主張，但不能據此認定所有較窄的貢獻都不存在。若對現有文獻服務不足的特定水資源管理子問題感興趣，下一步應是針對該子問題進行全新的、更窄的檢索。</w:t>
      </w:r>
    </w:p>
    <w:p>
      <w:pPr>
        <w:pStyle w:val="BodyText"/>
        <w:widowControl/>
      </w:pPr>
      <w:r>
        <w:t xml:space="preserve">較窄的「用於社會水文學中人類行為的 LLM 代理人」在歷史篩選中被保留為條件式假設，目前狀態未知。在投入之前，需採取三項行動：啟用 Semantic Scholar 重新檢索，記錄涵蓋度並重新評估缺口；閱讀 Schück (2026) 並圍繞其構念效度警示設計驗證 — 至少包含對真實家戶調適決策，與離散選擇或規則式 ABM 基線進行留出測試比較；以及，找到一可重複使用的行為資料集，或規劃一個符合專案時程並包含倫理審查批准的初級資料蒐集計畫。隨後研究者必須明確記錄選擇、修改、暫緩或否決該主題的決定及理由。本備忘錄未記錄目前的人為選題決定。</w:t>
      </w:r>
    </w:p>
    <w:p>
      <w:pPr>
        <w:widowControl/>
      </w:pPr>
      <w:r>
        <w:pict>
          <v:rect style="width:0;height:1.5pt" o:hralign="center" o:hrstd="t" o:hr="t"/>
        </w:pict>
      </w:r>
    </w:p>
    <w:bookmarkEnd w:id="29"/>
    <w:bookmarkStart w:id="30" w:name="附錄-a.-檢索與篩選協定"/>
    <w:p>
      <w:pPr>
        <w:pStyle w:val="Heading2"/>
        <w:widowControl/>
      </w:pPr>
      <w:r>
        <w:rPr>
          <w:color w:val="000000"/>
        </w:rPr>
        <w:t xml:space="preserve">附錄 A. 檢索與篩選協定</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189"/>
        <w:gridCol w:w="7603"/>
      </w:tblGrid>
      <w:tr>
        <w:trPr>
          <w:tblHeader w:val="on"/>
          <w:tblHeader/>
        </w:trPr>
        <w:tc>
          <w:tcPr>
            <w:tcW w:type="dxa" w:w="2189"/>
            <w:vAlign w:val="center"/>
            <w:shd w:fill="203B59"/>
          </w:tcPr>
          <w:p>
            <w:pPr>
              <w:pStyle w:val="Compact"/>
              <w:spacing w:after="20" w:before="20" w:line="280" w:lineRule="exact"/>
              <w:jc w:val="left"/>
            </w:pPr>
            <w:r>
              <w:rPr>
                <w:rFonts w:ascii="Arial" w:hAnsi="Arial"/>
                <w:b/>
                <w:color w:val="FFFFFF"/>
                <w:sz w:val="20"/>
              </w:rPr>
              <w:t xml:space="preserve">欄位</w:t>
            </w:r>
          </w:p>
        </w:tc>
        <w:tc>
          <w:tcPr>
            <w:tcW w:type="dxa" w:w="7603"/>
            <w:vAlign w:val="center"/>
            <w:shd w:fill="203B59"/>
          </w:tcPr>
          <w:p>
            <w:pPr>
              <w:pStyle w:val="Compact"/>
              <w:spacing w:after="20" w:before="20" w:line="280" w:lineRule="exact"/>
              <w:jc w:val="left"/>
            </w:pPr>
            <w:r>
              <w:rPr>
                <w:rFonts w:ascii="Arial" w:hAnsi="Arial"/>
                <w:b/>
                <w:color w:val="FFFFFF"/>
                <w:sz w:val="20"/>
              </w:rPr>
              <w:t xml:space="preserve">內容</w:t>
            </w:r>
          </w:p>
        </w:tc>
      </w:tr>
      <w:tr>
        <w:trPr>
          <w:cantSplit/>
        </w:trPr>
        <w:tc>
          <w:tcPr>
            <w:tcW w:type="dxa" w:w="2189"/>
            <w:vAlign w:val="center"/>
            <w:shd w:fill="FFFFFF"/>
          </w:tcPr>
          <w:p>
            <w:pPr>
              <w:pStyle w:val="Compact"/>
              <w:spacing w:after="20" w:before="20" w:line="280" w:lineRule="exact"/>
              <w:jc w:val="left"/>
            </w:pPr>
            <w:r>
              <w:rPr>
                <w:rFonts w:ascii="Arial" w:hAnsi="Arial"/>
                <w:color w:val="000000"/>
                <w:sz w:val="20"/>
              </w:rPr>
              <w:t xml:space="preserve">檢索日期</w:t>
            </w:r>
          </w:p>
        </w:tc>
        <w:tc>
          <w:tcPr>
            <w:tcW w:type="dxa" w:w="7603"/>
            <w:vAlign w:val="center"/>
            <w:shd w:fill="FFFFFF"/>
          </w:tcPr>
          <w:p>
            <w:pPr>
              <w:pStyle w:val="Compact"/>
              <w:spacing w:after="20" w:before="20" w:line="280" w:lineRule="exact"/>
              <w:jc w:val="left"/>
            </w:pPr>
            <w:r>
              <w:rPr>
                <w:rFonts w:ascii="Arial" w:hAnsi="Arial"/>
                <w:color w:val="000000"/>
                <w:sz w:val="20"/>
              </w:rPr>
              <w:t xml:space="preserve">2026-05-22</w:t>
            </w:r>
          </w:p>
        </w:tc>
      </w:tr>
      <w:tr>
        <w:trPr>
          <w:cantSplit/>
        </w:trPr>
        <w:tc>
          <w:tcPr>
            <w:tcW w:type="dxa" w:w="2189"/>
            <w:vAlign w:val="center"/>
            <w:shd w:fill="F3F6F9"/>
          </w:tcPr>
          <w:p>
            <w:pPr>
              <w:pStyle w:val="Compact"/>
              <w:spacing w:after="20" w:before="20" w:line="280" w:lineRule="exact"/>
              <w:jc w:val="left"/>
            </w:pPr>
            <w:r>
              <w:rPr>
                <w:rFonts w:ascii="Arial" w:hAnsi="Arial"/>
                <w:color w:val="000000"/>
                <w:sz w:val="20"/>
              </w:rPr>
              <w:t xml:space="preserve">檢索的資料庫</w:t>
            </w:r>
          </w:p>
        </w:tc>
        <w:tc>
          <w:tcPr>
            <w:tcW w:type="dxa" w:w="7603"/>
            <w:vAlign w:val="center"/>
            <w:shd w:fill="F3F6F9"/>
          </w:tcPr>
          <w:p>
            <w:pPr>
              <w:pStyle w:val="Compact"/>
              <w:spacing w:after="20" w:before="20" w:line="280" w:lineRule="exact"/>
              <w:jc w:val="left"/>
            </w:pPr>
            <w:r>
              <w:rPr>
                <w:rFonts w:ascii="Arial" w:hAnsi="Arial"/>
                <w:color w:val="000000"/>
                <w:sz w:val="20"/>
              </w:rPr>
              <w:t xml:space="preserve">crossref, OpenAlex, arXiv。執行期間 Semantic Scholar 因速率限制 (HTTP 429) 而未貢獻任何結果。</w:t>
            </w:r>
          </w:p>
        </w:tc>
      </w:tr>
      <w:tr>
        <w:trPr>
          <w:cantSplit/>
        </w:trPr>
        <w:tc>
          <w:tcPr>
            <w:tcW w:type="dxa" w:w="2189"/>
            <w:vAlign w:val="center"/>
            <w:shd w:fill="FFFFFF"/>
          </w:tcPr>
          <w:p>
            <w:pPr>
              <w:pStyle w:val="Compact"/>
              <w:spacing w:after="20" w:before="20" w:line="280" w:lineRule="exact"/>
              <w:jc w:val="left"/>
            </w:pPr>
            <w:r>
              <w:rPr>
                <w:rFonts w:ascii="Arial" w:hAnsi="Arial"/>
                <w:color w:val="000000"/>
                <w:sz w:val="20"/>
              </w:rPr>
              <w:t xml:space="preserve">查詢家族</w:t>
            </w:r>
          </w:p>
        </w:tc>
        <w:tc>
          <w:tcPr>
            <w:tcW w:type="dxa" w:w="7603"/>
            <w:vAlign w:val="center"/>
            <w:shd w:fill="FFFFFF"/>
          </w:tcPr>
          <w:p>
            <w:pPr>
              <w:pStyle w:val="Compact"/>
              <w:spacing w:after="20" w:before="20" w:line="280" w:lineRule="exact"/>
              <w:jc w:val="left"/>
            </w:pPr>
            <w:r>
              <w:rPr>
                <w:rFonts w:ascii="Arial" w:hAnsi="Arial"/>
                <w:color w:val="000000"/>
                <w:sz w:val="20"/>
              </w:rPr>
              <w:t xml:space="preserve">六種「LLM 在水資源／管理／水文學中的應用」的對抗式查詢語句，由</w:t>
            </w:r>
            <w:r>
              <w:rPr>
                <w:rFonts w:ascii="Arial" w:hAnsi="Arial"/>
                <w:color w:val="000000"/>
                <w:sz w:val="20"/>
              </w:rPr>
              <w:t xml:space="preserve"> </w:t>
            </w:r>
            <w:r>
              <w:rPr>
                <w:rStyle w:val="VerbatimChar"/>
                <w:rFonts w:ascii="Arial" w:hAnsi="Arial"/>
                <w:color w:val="000000"/>
                <w:sz w:val="20"/>
              </w:rPr>
              <w:t xml:space="preserve">search --adversarial</w:t>
            </w:r>
            <w:r>
              <w:rPr>
                <w:rFonts w:ascii="Arial" w:hAnsi="Arial"/>
                <w:color w:val="000000"/>
                <w:sz w:val="20"/>
              </w:rPr>
              <w:t xml:space="preserve"> </w:t>
            </w:r>
            <w:r>
              <w:rPr>
                <w:rFonts w:ascii="Arial" w:hAnsi="Arial"/>
                <w:color w:val="000000"/>
                <w:sz w:val="20"/>
              </w:rPr>
              <w:t xml:space="preserve">產生</w:t>
            </w:r>
          </w:p>
        </w:tc>
      </w:tr>
      <w:tr>
        <w:trPr>
          <w:cantSplit/>
        </w:trPr>
        <w:tc>
          <w:tcPr>
            <w:tcW w:type="dxa" w:w="2189"/>
            <w:vAlign w:val="center"/>
            <w:shd w:fill="F3F6F9"/>
          </w:tcPr>
          <w:p>
            <w:pPr>
              <w:pStyle w:val="Compact"/>
              <w:spacing w:after="20" w:before="20" w:line="280" w:lineRule="exact"/>
              <w:jc w:val="left"/>
            </w:pPr>
            <w:r>
              <w:rPr>
                <w:rFonts w:ascii="Arial" w:hAnsi="Arial"/>
                <w:color w:val="000000"/>
                <w:sz w:val="20"/>
              </w:rPr>
              <w:t xml:space="preserve">檢索數量</w:t>
            </w:r>
          </w:p>
        </w:tc>
        <w:tc>
          <w:tcPr>
            <w:tcW w:type="dxa" w:w="7603"/>
            <w:vAlign w:val="center"/>
            <w:shd w:fill="F3F6F9"/>
          </w:tcPr>
          <w:p>
            <w:pPr>
              <w:pStyle w:val="Compact"/>
              <w:spacing w:after="20" w:before="20" w:line="280" w:lineRule="exact"/>
              <w:jc w:val="left"/>
            </w:pPr>
            <w:r>
              <w:rPr>
                <w:rFonts w:ascii="Arial" w:hAnsi="Arial"/>
                <w:color w:val="000000"/>
                <w:sz w:val="20"/>
              </w:rPr>
              <w:t xml:space="preserve">435 篇獨特論文 (後端層級去重後)</w:t>
            </w:r>
          </w:p>
        </w:tc>
      </w:tr>
      <w:tr>
        <w:trPr>
          <w:cantSplit/>
        </w:trPr>
        <w:tc>
          <w:tcPr>
            <w:tcW w:type="dxa" w:w="2189"/>
            <w:vAlign w:val="center"/>
            <w:shd w:fill="FFFFFF"/>
          </w:tcPr>
          <w:p>
            <w:pPr>
              <w:pStyle w:val="Compact"/>
              <w:spacing w:after="20" w:before="20" w:line="280" w:lineRule="exact"/>
              <w:jc w:val="left"/>
            </w:pPr>
            <w:r>
              <w:rPr>
                <w:rFonts w:ascii="Arial" w:hAnsi="Arial"/>
                <w:color w:val="000000"/>
                <w:sz w:val="20"/>
              </w:rPr>
              <w:t xml:space="preserve">去重規則</w:t>
            </w:r>
          </w:p>
        </w:tc>
        <w:tc>
          <w:tcPr>
            <w:tcW w:type="dxa" w:w="7603"/>
            <w:vAlign w:val="center"/>
            <w:shd w:fill="FFFFFF"/>
          </w:tcPr>
          <w:p>
            <w:pPr>
              <w:pStyle w:val="Compact"/>
              <w:spacing w:after="20" w:before="20" w:line="280" w:lineRule="exact"/>
              <w:jc w:val="left"/>
            </w:pPr>
            <w:r>
              <w:rPr>
                <w:rFonts w:ascii="Arial" w:hAnsi="Arial"/>
                <w:color w:val="000000"/>
                <w:sz w:val="20"/>
              </w:rPr>
              <w:t xml:space="preserve">主要基於 DOI，arXiv ID 為備用；近重複的標題已合併</w:t>
            </w:r>
          </w:p>
        </w:tc>
      </w:tr>
      <w:tr>
        <w:trPr>
          <w:cantSplit/>
        </w:trPr>
        <w:tc>
          <w:tcPr>
            <w:tcW w:type="dxa" w:w="2189"/>
            <w:vAlign w:val="center"/>
            <w:shd w:fill="F3F6F9"/>
          </w:tcPr>
          <w:p>
            <w:pPr>
              <w:pStyle w:val="Compact"/>
              <w:spacing w:after="20" w:before="20" w:line="280" w:lineRule="exact"/>
              <w:jc w:val="left"/>
            </w:pPr>
            <w:r>
              <w:rPr>
                <w:rFonts w:ascii="Arial" w:hAnsi="Arial"/>
                <w:color w:val="000000"/>
                <w:sz w:val="20"/>
              </w:rPr>
              <w:t xml:space="preserve">納入標準</w:t>
            </w:r>
          </w:p>
        </w:tc>
        <w:tc>
          <w:tcPr>
            <w:tcW w:type="dxa" w:w="7603"/>
            <w:vAlign w:val="center"/>
            <w:shd w:fill="F3F6F9"/>
          </w:tcPr>
          <w:p>
            <w:pPr>
              <w:pStyle w:val="Compact"/>
              <w:spacing w:after="20" w:before="20" w:line="280" w:lineRule="exact"/>
              <w:jc w:val="left"/>
            </w:pPr>
            <w:r>
              <w:rPr>
                <w:rFonts w:ascii="Arial" w:hAnsi="Arial"/>
                <w:color w:val="000000"/>
                <w:sz w:val="20"/>
              </w:rPr>
              <w:t xml:space="preserve">真正關於 LLM 應用於水資源的論文，</w:t>
            </w:r>
            <w:r>
              <w:rPr>
                <w:rFonts w:ascii="Arial" w:hAnsi="Arial"/>
                <w:i/>
                <w:iCs/>
                <w:color w:val="000000"/>
                <w:sz w:val="20"/>
              </w:rPr>
              <w:t xml:space="preserve">或</w:t>
            </w:r>
            <w:r>
              <w:rPr>
                <w:rFonts w:ascii="Arial" w:hAnsi="Arial"/>
                <w:color w:val="000000"/>
                <w:sz w:val="20"/>
              </w:rPr>
              <w:t xml:space="preserve">與候選主題 2 (LLM 代理人模擬人類決策) 相關的相近行為類比。13 篇進入先期技術文獻庫。</w:t>
            </w:r>
          </w:p>
        </w:tc>
      </w:tr>
      <w:tr>
        <w:trPr>
          <w:cantSplit/>
        </w:trPr>
        <w:tc>
          <w:tcPr>
            <w:tcW w:type="dxa" w:w="2189"/>
            <w:vAlign w:val="center"/>
            <w:shd w:fill="FFFFFF"/>
          </w:tcPr>
          <w:p>
            <w:pPr>
              <w:pStyle w:val="Compact"/>
              <w:spacing w:after="20" w:before="20" w:line="280" w:lineRule="exact"/>
              <w:jc w:val="left"/>
            </w:pPr>
            <w:r>
              <w:rPr>
                <w:rFonts w:ascii="Arial" w:hAnsi="Arial"/>
                <w:color w:val="000000"/>
                <w:sz w:val="20"/>
              </w:rPr>
              <w:t xml:space="preserve">排除標準</w:t>
            </w:r>
          </w:p>
        </w:tc>
        <w:tc>
          <w:tcPr>
            <w:tcW w:type="dxa" w:w="7603"/>
            <w:vAlign w:val="center"/>
            <w:shd w:fill="FFFFFF"/>
          </w:tcPr>
          <w:p>
            <w:pPr>
              <w:pStyle w:val="Compact"/>
              <w:spacing w:after="20" w:before="20" w:line="280" w:lineRule="exact"/>
              <w:jc w:val="left"/>
            </w:pPr>
            <w:r>
              <w:rPr>
                <w:rFonts w:ascii="Arial" w:hAnsi="Arial"/>
                <w:color w:val="000000"/>
                <w:sz w:val="20"/>
              </w:rPr>
              <w:t xml:space="preserve">非關 LLM 的 AI 應用於水資源之切題性不足的論文；重複者；無行為類比作用的領域外 LLM 研究</w:t>
            </w:r>
          </w:p>
        </w:tc>
      </w:tr>
      <w:tr>
        <w:trPr>
          <w:cantSplit/>
        </w:trPr>
        <w:tc>
          <w:tcPr>
            <w:tcW w:type="dxa" w:w="2189"/>
            <w:vAlign w:val="center"/>
            <w:shd w:fill="F3F6F9"/>
          </w:tcPr>
          <w:p>
            <w:pPr>
              <w:pStyle w:val="Compact"/>
              <w:spacing w:after="20" w:before="20" w:line="280" w:lineRule="exact"/>
              <w:jc w:val="left"/>
            </w:pPr>
            <w:r>
              <w:rPr>
                <w:rFonts w:ascii="Arial" w:hAnsi="Arial"/>
                <w:color w:val="000000"/>
                <w:sz w:val="20"/>
              </w:rPr>
              <w:t xml:space="preserve">篩選過程</w:t>
            </w:r>
          </w:p>
        </w:tc>
        <w:tc>
          <w:tcPr>
            <w:tcW w:type="dxa" w:w="7603"/>
            <w:vAlign w:val="center"/>
            <w:shd w:fill="F3F6F9"/>
          </w:tcPr>
          <w:p>
            <w:pPr>
              <w:pStyle w:val="Compact"/>
              <w:spacing w:after="20" w:before="20" w:line="280" w:lineRule="exact"/>
              <w:jc w:val="left"/>
            </w:pPr>
            <w:r>
              <w:rPr>
                <w:rFonts w:ascii="Arial" w:hAnsi="Arial"/>
                <w:color w:val="000000"/>
                <w:sz w:val="20"/>
              </w:rPr>
              <w:t xml:space="preserve">自動化相關性關卡 (BM25 適配度檢查,</w:t>
            </w:r>
            <w:r>
              <w:rPr>
                <w:rFonts w:ascii="Arial" w:hAnsi="Arial"/>
                <w:color w:val="000000"/>
                <w:sz w:val="20"/>
              </w:rPr>
              <w:t xml:space="preserve"> </w:t>
            </w:r>
            <w:r>
              <w:rPr>
                <w:rStyle w:val="VerbatimChar"/>
                <w:rFonts w:ascii="Arial" w:hAnsi="Arial"/>
                <w:color w:val="000000"/>
                <w:sz w:val="20"/>
              </w:rPr>
              <w:t xml:space="preserve">search --screen</w:t>
            </w:r>
            <w:r>
              <w:rPr>
                <w:rFonts w:ascii="Arial" w:hAnsi="Arial"/>
                <w:color w:val="000000"/>
                <w:sz w:val="20"/>
              </w:rPr>
              <w:t xml:space="preserve">) 從頂層篩選集合中回傳 25 篇主題相關論文；由代理人判斷選出 13 篇進入文獻庫並標記證據類型</w:t>
            </w:r>
          </w:p>
        </w:tc>
      </w:tr>
      <w:tr>
        <w:trPr>
          <w:cantSplit/>
        </w:trPr>
        <w:tc>
          <w:tcPr>
            <w:tcW w:type="dxa" w:w="2189"/>
            <w:vAlign w:val="center"/>
            <w:shd w:fill="FFFFFF"/>
          </w:tcPr>
          <w:p>
            <w:pPr>
              <w:pStyle w:val="Compact"/>
              <w:spacing w:after="20" w:before="20" w:line="280" w:lineRule="exact"/>
              <w:jc w:val="left"/>
            </w:pPr>
            <w:r>
              <w:rPr>
                <w:rFonts w:ascii="Arial" w:hAnsi="Arial"/>
                <w:color w:val="000000"/>
                <w:sz w:val="20"/>
              </w:rPr>
              <w:t xml:space="preserve">已知限制</w:t>
            </w:r>
          </w:p>
        </w:tc>
        <w:tc>
          <w:tcPr>
            <w:tcW w:type="dxa" w:w="7603"/>
            <w:vAlign w:val="center"/>
            <w:shd w:fill="FFFFFF"/>
          </w:tcPr>
          <w:p>
            <w:pPr>
              <w:pStyle w:val="Compact"/>
              <w:spacing w:after="20" w:before="20" w:line="280" w:lineRule="exact"/>
              <w:jc w:val="left"/>
            </w:pPr>
            <w:r>
              <w:rPr>
                <w:rFonts w:ascii="Arial" w:hAnsi="Arial"/>
                <w:color w:val="000000"/>
                <w:sz w:val="20"/>
              </w:rPr>
              <w:t xml:space="preserve">Semantic Scholar 無法使用；部分 2026 年會議摘要在 crossref 中紀錄為空；文獻庫偏向 2024–2026 年 (對 LLM 應用主題而言為預期之中)</w:t>
            </w:r>
          </w:p>
        </w:tc>
      </w:tr>
      <w:tr>
        <w:trPr>
          <w:cantSplit/>
        </w:trPr>
        <w:tc>
          <w:tcPr>
            <w:tcW w:type="dxa" w:w="2189"/>
            <w:vAlign w:val="center"/>
            <w:shd w:fill="F3F6F9"/>
          </w:tcPr>
          <w:p>
            <w:pPr>
              <w:pStyle w:val="Compact"/>
              <w:spacing w:after="20" w:before="20" w:line="280" w:lineRule="exact"/>
              <w:jc w:val="left"/>
            </w:pPr>
            <w:r>
              <w:rPr>
                <w:rFonts w:ascii="Arial" w:hAnsi="Arial"/>
                <w:color w:val="000000"/>
                <w:sz w:val="20"/>
              </w:rPr>
              <w:t xml:space="preserve">召回信心</w:t>
            </w:r>
          </w:p>
        </w:tc>
        <w:tc>
          <w:tcPr>
            <w:tcW w:type="dxa" w:w="7603"/>
            <w:vAlign w:val="center"/>
            <w:shd w:fill="F3F6F9"/>
          </w:tcPr>
          <w:p>
            <w:pPr>
              <w:pStyle w:val="Compact"/>
              <w:spacing w:after="20" w:before="20" w:line="280" w:lineRule="exact"/>
              <w:jc w:val="left"/>
            </w:pPr>
            <w:r>
              <w:rPr>
                <w:rFonts w:ascii="Arial" w:hAnsi="Arial"/>
                <w:color w:val="000000"/>
                <w:sz w:val="20"/>
              </w:rPr>
              <w:t xml:space="preserve">中等。為獲得更確切的結論，請設定</w:t>
            </w:r>
            <w:r>
              <w:rPr>
                <w:rFonts w:ascii="Arial" w:hAnsi="Arial"/>
                <w:color w:val="000000"/>
                <w:sz w:val="20"/>
              </w:rPr>
              <w:t xml:space="preserve"> </w:t>
            </w:r>
            <w:r>
              <w:rPr>
                <w:rStyle w:val="VerbatimChar"/>
                <w:rFonts w:ascii="Arial" w:hAnsi="Arial"/>
                <w:color w:val="000000"/>
                <w:sz w:val="20"/>
              </w:rPr>
              <w:t xml:space="preserve">SEMANTIC_SCHOLAR_API_KEY</w:t>
            </w:r>
            <w:r>
              <w:rPr>
                <w:rFonts w:ascii="Arial" w:hAnsi="Arial"/>
                <w:color w:val="000000"/>
                <w:sz w:val="20"/>
              </w:rPr>
              <w:t xml:space="preserve"> </w:t>
            </w:r>
            <w:r>
              <w:rPr>
                <w:rFonts w:ascii="Arial" w:hAnsi="Arial"/>
                <w:color w:val="000000"/>
                <w:sz w:val="20"/>
              </w:rPr>
              <w:t xml:space="preserve">後重新執行檢索。</w:t>
            </w:r>
          </w:p>
        </w:tc>
      </w:tr>
    </w:tbl>
    <w:bookmarkEnd w:id="30"/>
    <w:bookmarkStart w:id="31" w:name="附錄-b.-交付檔案清單"/>
    <w:p>
      <w:pPr>
        <w:pStyle w:val="Heading2"/>
        <w:widowControl/>
      </w:pPr>
      <w:r>
        <w:rPr>
          <w:color w:val="000000"/>
        </w:rPr>
        <w:t xml:space="preserve">附錄 B. 交付檔案清單</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664"/>
        <w:gridCol w:w="2952"/>
        <w:gridCol w:w="4176"/>
      </w:tblGrid>
      <w:tr>
        <w:trPr>
          <w:tblHeader w:val="on"/>
          <w:tblHeader/>
        </w:trPr>
        <w:tc>
          <w:tcPr>
            <w:tcW w:type="dxa" w:w="2664"/>
            <w:vAlign w:val="center"/>
            <w:shd w:fill="203B59"/>
          </w:tcPr>
          <w:p>
            <w:pPr>
              <w:pStyle w:val="Compact"/>
              <w:spacing w:after="20" w:before="20" w:line="280" w:lineRule="exact"/>
              <w:jc w:val="left"/>
            </w:pPr>
            <w:r>
              <w:rPr>
                <w:rFonts w:ascii="Arial" w:hAnsi="Arial"/>
                <w:b/>
                <w:color w:val="FFFFFF"/>
                <w:sz w:val="19"/>
              </w:rPr>
              <w:t xml:space="preserve">檔案</w:t>
            </w:r>
          </w:p>
        </w:tc>
        <w:tc>
          <w:tcPr>
            <w:tcW w:type="dxa" w:w="2952"/>
            <w:vAlign w:val="center"/>
            <w:shd w:fill="203B59"/>
          </w:tcPr>
          <w:p>
            <w:pPr>
              <w:pStyle w:val="Compact"/>
              <w:spacing w:after="20" w:before="20" w:line="280" w:lineRule="exact"/>
              <w:jc w:val="left"/>
            </w:pPr>
            <w:r>
              <w:rPr>
                <w:rFonts w:ascii="Arial" w:hAnsi="Arial"/>
                <w:b/>
                <w:color w:val="FFFFFF"/>
                <w:sz w:val="19"/>
              </w:rPr>
              <w:t xml:space="preserve">內容</w:t>
            </w:r>
          </w:p>
        </w:tc>
        <w:tc>
          <w:tcPr>
            <w:tcW w:type="dxa" w:w="4176"/>
            <w:vAlign w:val="center"/>
            <w:shd w:fill="203B59"/>
          </w:tcPr>
          <w:p>
            <w:pPr>
              <w:pStyle w:val="Compact"/>
              <w:spacing w:after="20" w:before="20" w:line="280" w:lineRule="exact"/>
              <w:jc w:val="left"/>
            </w:pPr>
            <w:r>
              <w:rPr>
                <w:rFonts w:ascii="Arial" w:hAnsi="Arial"/>
                <w:b/>
                <w:color w:val="FFFFFF"/>
                <w:sz w:val="19"/>
              </w:rPr>
              <w:t xml:space="preserve">提供資訊</w:t>
            </w:r>
          </w:p>
        </w:tc>
      </w:tr>
      <w:tr>
        <w:trPr>
          <w:cantSplit/>
        </w:trPr>
        <w:tc>
          <w:tcPr>
            <w:tcW w:type="dxa" w:w="2664"/>
            <w:vAlign w:val="center"/>
            <w:shd w:fill="FFFFFF"/>
          </w:tcPr>
          <w:p>
            <w:pPr>
              <w:pStyle w:val="Compact"/>
              <w:spacing w:after="20" w:before="20" w:line="280" w:lineRule="exact"/>
              <w:jc w:val="left"/>
            </w:pPr>
            <w:r>
              <w:rPr>
                <w:rStyle w:val="VerbatimChar"/>
                <w:rFonts w:ascii="Arial" w:hAnsi="Arial"/>
                <w:color w:val="000000"/>
                <w:sz w:val="19"/>
              </w:rPr>
              <w:t xml:space="preserve">topic_dossier.md</w:t>
            </w:r>
            <w:r>
              <w:rPr>
                <w:rFonts w:ascii="Arial" w:hAnsi="Arial"/>
                <w:color w:val="000000"/>
                <w:sz w:val="19"/>
              </w:rPr>
              <w:t xml:space="preserve"> </w:t>
            </w:r>
            <w:r>
              <w:rPr>
                <w:rFonts w:ascii="Arial" w:hAnsi="Arial"/>
                <w:color w:val="000000"/>
                <w:sz w:val="19"/>
              </w:rPr>
              <w:t xml:space="preserve">/</w:t>
            </w:r>
            <w:r>
              <w:rPr>
                <w:rFonts w:ascii="Arial" w:hAnsi="Arial"/>
                <w:color w:val="000000"/>
                <w:sz w:val="19"/>
              </w:rPr>
              <w:t xml:space="preserve"> </w:t>
            </w:r>
            <w:r>
              <w:rPr>
                <w:rStyle w:val="VerbatimChar"/>
                <w:rFonts w:ascii="Arial" w:hAnsi="Arial"/>
                <w:color w:val="000000"/>
                <w:sz w:val="19"/>
              </w:rPr>
              <w:t xml:space="preserve">.docx</w:t>
            </w:r>
          </w:p>
        </w:tc>
        <w:tc>
          <w:tcPr>
            <w:tcW w:type="dxa" w:w="2952"/>
            <w:vAlign w:val="center"/>
            <w:shd w:fill="FFFFFF"/>
          </w:tcPr>
          <w:p>
            <w:pPr>
              <w:pStyle w:val="Compact"/>
              <w:spacing w:after="20" w:before="20" w:line="280" w:lineRule="exact"/>
              <w:jc w:val="left"/>
            </w:pPr>
            <w:r>
              <w:rPr>
                <w:rFonts w:ascii="Arial" w:hAnsi="Arial"/>
                <w:color w:val="000000"/>
                <w:sz w:val="19"/>
              </w:rPr>
              <w:t xml:space="preserve">本文件 — 主題決策備忘錄</w:t>
            </w:r>
          </w:p>
        </w:tc>
        <w:tc>
          <w:tcPr>
            <w:tcW w:type="dxa" w:w="4176"/>
            <w:vAlign w:val="center"/>
            <w:shd w:fill="FFFFFF"/>
          </w:tcPr>
          <w:p>
            <w:pPr>
              <w:pStyle w:val="Compact"/>
              <w:spacing w:after="20" w:before="20" w:line="280" w:lineRule="exact"/>
              <w:jc w:val="left"/>
            </w:pPr>
            <w:r>
              <w:rPr>
                <w:rFonts w:ascii="Arial" w:hAnsi="Arial"/>
                <w:color w:val="000000"/>
                <w:sz w:val="19"/>
              </w:rPr>
              <w:t xml:space="preserve">歷史篩選標籤、有限範圍的證據與未決檢核</w:t>
            </w:r>
          </w:p>
        </w:tc>
      </w:tr>
      <w:tr>
        <w:trPr>
          <w:cantSplit/>
        </w:trPr>
        <w:tc>
          <w:tcPr>
            <w:tcW w:type="dxa" w:w="2664"/>
            <w:vAlign w:val="center"/>
            <w:shd w:fill="F3F6F9"/>
          </w:tcPr>
          <w:p>
            <w:pPr>
              <w:pStyle w:val="Compact"/>
              <w:spacing w:after="20" w:before="20" w:line="280" w:lineRule="exact"/>
              <w:jc w:val="left"/>
            </w:pPr>
            <w:r>
              <w:rPr>
                <w:rStyle w:val="VerbatimChar"/>
                <w:rFonts w:ascii="Arial" w:hAnsi="Arial"/>
                <w:color w:val="000000"/>
                <w:sz w:val="19"/>
              </w:rPr>
              <w:t xml:space="preserve">topic_dossier.bib</w:t>
            </w:r>
          </w:p>
        </w:tc>
        <w:tc>
          <w:tcPr>
            <w:tcW w:type="dxa" w:w="2952"/>
            <w:vAlign w:val="center"/>
            <w:shd w:fill="F3F6F9"/>
          </w:tcPr>
          <w:p>
            <w:pPr>
              <w:pStyle w:val="Compact"/>
              <w:spacing w:after="20" w:before="20" w:line="280" w:lineRule="exact"/>
              <w:jc w:val="left"/>
            </w:pPr>
            <w:r>
              <w:rPr>
                <w:rFonts w:ascii="Arial" w:hAnsi="Arial"/>
                <w:color w:val="000000"/>
                <w:sz w:val="19"/>
              </w:rPr>
              <w:t xml:space="preserve">參考文獻清單，BibTeX 格式</w:t>
            </w:r>
          </w:p>
        </w:tc>
        <w:tc>
          <w:tcPr>
            <w:tcW w:type="dxa" w:w="4176"/>
            <w:vAlign w:val="center"/>
            <w:shd w:fill="F3F6F9"/>
          </w:tcPr>
          <w:p>
            <w:pPr>
              <w:pStyle w:val="Compact"/>
              <w:spacing w:after="20" w:before="20" w:line="280" w:lineRule="exact"/>
              <w:jc w:val="left"/>
            </w:pPr>
            <w:r>
              <w:rPr>
                <w:rFonts w:ascii="Arial" w:hAnsi="Arial"/>
                <w:color w:val="000000"/>
                <w:sz w:val="19"/>
              </w:rPr>
              <w:t xml:space="preserve">每篇被引用且有可解析 DOI 的論文 — 支持獨立檢視所引證據</w:t>
            </w:r>
          </w:p>
        </w:tc>
      </w:tr>
      <w:tr>
        <w:trPr>
          <w:cantSplit/>
        </w:trPr>
        <w:tc>
          <w:tcPr>
            <w:tcW w:type="dxa" w:w="2664"/>
            <w:vAlign w:val="center"/>
            <w:shd w:fill="FFFFFF"/>
          </w:tcPr>
          <w:p>
            <w:pPr>
              <w:pStyle w:val="Compact"/>
              <w:spacing w:after="20" w:before="20" w:line="280" w:lineRule="exact"/>
              <w:jc w:val="left"/>
            </w:pPr>
            <w:r>
              <w:rPr>
                <w:rStyle w:val="VerbatimChar"/>
                <w:rFonts w:ascii="Arial" w:hAnsi="Arial"/>
                <w:color w:val="000000"/>
                <w:sz w:val="19"/>
              </w:rPr>
              <w:t xml:space="preserve">literature_matrix.md</w:t>
            </w:r>
          </w:p>
        </w:tc>
        <w:tc>
          <w:tcPr>
            <w:tcW w:type="dxa" w:w="2952"/>
            <w:vAlign w:val="center"/>
            <w:shd w:fill="FFFFFF"/>
          </w:tcPr>
          <w:p>
            <w:pPr>
              <w:pStyle w:val="Compact"/>
              <w:spacing w:after="20" w:before="20" w:line="280" w:lineRule="exact"/>
              <w:jc w:val="left"/>
            </w:pPr>
            <w:r>
              <w:rPr>
                <w:rFonts w:ascii="Arial" w:hAnsi="Arial"/>
                <w:color w:val="000000"/>
                <w:sz w:val="19"/>
              </w:rPr>
              <w:t xml:space="preserve">論文逐篇比較表</w:t>
            </w:r>
          </w:p>
        </w:tc>
        <w:tc>
          <w:tcPr>
            <w:tcW w:type="dxa" w:w="4176"/>
            <w:vAlign w:val="center"/>
            <w:shd w:fill="FFFFFF"/>
          </w:tcPr>
          <w:p>
            <w:pPr>
              <w:pStyle w:val="Compact"/>
              <w:spacing w:after="20" w:before="20" w:line="280" w:lineRule="exact"/>
              <w:jc w:val="left"/>
            </w:pPr>
            <w:r>
              <w:rPr>
                <w:rFonts w:ascii="Arial" w:hAnsi="Arial"/>
                <w:color w:val="000000"/>
                <w:sz w:val="19"/>
              </w:rPr>
              <w:t xml:space="preserve">每篇檢索論文的比較 — 方法、主張、證據類型、限制</w:t>
            </w:r>
          </w:p>
        </w:tc>
      </w:tr>
      <w:tr>
        <w:trPr>
          <w:cantSplit/>
        </w:trPr>
        <w:tc>
          <w:tcPr>
            <w:tcW w:type="dxa" w:w="2664"/>
            <w:vAlign w:val="center"/>
            <w:shd w:fill="F3F6F9"/>
          </w:tcPr>
          <w:p>
            <w:pPr>
              <w:pStyle w:val="Compact"/>
              <w:spacing w:after="20" w:before="20" w:line="280" w:lineRule="exact"/>
              <w:jc w:val="left"/>
            </w:pPr>
            <w:r>
              <w:rPr>
                <w:rStyle w:val="VerbatimChar"/>
                <w:rFonts w:ascii="Arial" w:hAnsi="Arial"/>
                <w:color w:val="000000"/>
                <w:sz w:val="19"/>
              </w:rPr>
              <w:t xml:space="preserve">topic_dossier.gaps.yml</w:t>
            </w:r>
          </w:p>
        </w:tc>
        <w:tc>
          <w:tcPr>
            <w:tcW w:type="dxa" w:w="2952"/>
            <w:vAlign w:val="center"/>
            <w:shd w:fill="F3F6F9"/>
          </w:tcPr>
          <w:p>
            <w:pPr>
              <w:pStyle w:val="Compact"/>
              <w:spacing w:after="20" w:before="20" w:line="280" w:lineRule="exact"/>
              <w:jc w:val="left"/>
            </w:pPr>
            <w:r>
              <w:rPr>
                <w:rFonts w:ascii="Arial" w:hAnsi="Arial"/>
                <w:color w:val="000000"/>
                <w:sz w:val="19"/>
              </w:rPr>
              <w:t xml:space="preserve">機器可讀匯出</w:t>
            </w:r>
          </w:p>
        </w:tc>
        <w:tc>
          <w:tcPr>
            <w:tcW w:type="dxa" w:w="4176"/>
            <w:vAlign w:val="center"/>
            <w:shd w:fill="F3F6F9"/>
          </w:tcPr>
          <w:p>
            <w:pPr>
              <w:pStyle w:val="Compact"/>
              <w:spacing w:after="20" w:before="20" w:line="280" w:lineRule="exact"/>
              <w:jc w:val="left"/>
            </w:pPr>
            <w:r>
              <w:rPr>
                <w:rFonts w:ascii="Arial" w:hAnsi="Arial"/>
                <w:color w:val="000000"/>
                <w:sz w:val="19"/>
              </w:rPr>
              <w:t xml:space="preserve">供下游工具或後續處理使用的結構化資料；閱讀時不需要</w:t>
            </w:r>
          </w:p>
        </w:tc>
      </w:tr>
    </w:tbl>
    <w:p>
      <w:pPr>
        <w:pStyle w:val="SourceCode"/>
        <w:widowControl/>
        <w:spacing w:after="0" w:line="240" w:lineRule="exact"/>
      </w:pPr>
      <w:r>
        <w:rPr>
          <w:rStyle w:val="VerbatimChar"/>
          <w:rFonts w:ascii="Noto Sans Mono CJK TC" w:hAnsi="Noto Sans Mono CJK TC"/>
          <w:sz w:val="18"/>
        </w:rPr>
        <w:t xml:space="preserve">zh-TW/</w:t>
      </w:r>
      <w:r>
        <w:rPr>
          <w:rFonts w:ascii="Noto Sans Mono CJK TC" w:hAnsi="Noto Sans Mono CJK TC"/>
          <w:sz w:val="18"/>
        </w:rPr>
        <w:br/>
      </w:r>
      <w:r>
        <w:rPr>
          <w:rStyle w:val="VerbatimChar"/>
          <w:rFonts w:ascii="Noto Sans Mono CJK TC" w:hAnsi="Noto Sans Mono CJK TC"/>
          <w:sz w:val="18"/>
        </w:rPr>
        <w:t xml:space="preserve">├── topic_dossier.zh-TW.md / .docx</w:t>
      </w:r>
      <w:r>
        <w:rPr>
          <w:rFonts w:ascii="Noto Sans Mono CJK TC" w:hAnsi="Noto Sans Mono CJK TC"/>
          <w:sz w:val="18"/>
        </w:rPr>
        <w:br/>
      </w:r>
      <w:r>
        <w:rPr>
          <w:rStyle w:val="VerbatimChar"/>
          <w:rFonts w:ascii="Noto Sans Mono CJK TC" w:hAnsi="Noto Sans Mono CJK TC"/>
          <w:sz w:val="18"/>
        </w:rPr>
        <w:t xml:space="preserve">├── topic_dossier.bib</w:t>
      </w:r>
      <w:r>
        <w:rPr>
          <w:rFonts w:ascii="Noto Sans Mono CJK TC" w:hAnsi="Noto Sans Mono CJK TC"/>
          <w:sz w:val="18"/>
        </w:rPr>
        <w:br/>
      </w:r>
      <w:r>
        <w:rPr>
          <w:rStyle w:val="VerbatimChar"/>
          <w:rFonts w:ascii="Noto Sans Mono CJK TC" w:hAnsi="Noto Sans Mono CJK TC"/>
          <w:sz w:val="18"/>
        </w:rPr>
        <w:t xml:space="preserve">├── literature_matrix.zh-TW.md</w:t>
      </w:r>
      <w:r>
        <w:rPr>
          <w:rFonts w:ascii="Noto Sans Mono CJK TC" w:hAnsi="Noto Sans Mono CJK TC"/>
          <w:sz w:val="18"/>
        </w:rPr>
        <w:br/>
      </w:r>
      <w:r>
        <w:rPr>
          <w:rStyle w:val="VerbatimChar"/>
          <w:rFonts w:ascii="Noto Sans Mono CJK TC" w:hAnsi="Noto Sans Mono CJK TC"/>
          <w:sz w:val="18"/>
        </w:rPr>
        <w:t xml:space="preserve">└── topic_dossier.gaps.yml</w:t>
      </w:r>
    </w:p>
    <w:p>
      <w:pPr>
        <w:pStyle w:val="FirstParagraph"/>
        <w:widowControl/>
      </w:pPr>
      <w:r>
        <w:t xml:space="preserve">此交付成果的英文鏡像版本位於同層的</w:t>
      </w:r>
      <w:r>
        <w:t xml:space="preserve"> </w:t>
      </w:r>
      <w:r>
        <w:rPr>
          <w:rStyle w:val="VerbatimChar"/>
        </w:rPr>
        <w:t xml:space="preserve">en/</w:t>
      </w:r>
      <w:r>
        <w:t xml:space="preserve"> </w:t>
      </w:r>
      <w:r>
        <w:t xml:space="preserve">資料夾中。</w:t>
      </w:r>
    </w:p>
    <w:bookmarkEnd w:id="31"/>
    <w:bookmarkEnd w:id="32"/>
    <w:sectPr>
      <w:pgSz w:w="12240" w:h="15840"/>
      <w:pgMar w:left="1224" w:right="1224" w:top="1224" w:bottom="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00" w:lineRule="exact"/>
    </w:pPr>
    <w:rPr>
      <w:rFonts w:ascii="Arial" w:hAnsi="Arial" w:eastAsia="Noto Sans CJK TC"/>
      <w:sz w:val="21"/>
    </w:rPr>
  </w:style>
  <w:style w:styleId="BodyText" w:type="paragraph">
    <w:name w:val="Body Text"/>
    <w:basedOn w:val="Normal"/>
    <w:link w:val="BodyTextChar"/>
    <w:qFormat/>
    <w:pPr>
      <w:spacing w:after="120" w:before="180" w:line="300" w:lineRule="exact"/>
    </w:pPr>
    <w:rPr>
      <w:rFonts w:ascii="Arial" w:hAnsi="Arial" w:eastAsia="Noto Sans CJK TC"/>
      <w:sz w:val="21"/>
    </w:rPr>
  </w:style>
  <w:style w:customStyle="1" w:styleId="FirstParagraph" w:type="paragraph">
    <w:name w:val="First Paragraph"/>
    <w:basedOn w:val="BodyText"/>
    <w:next w:val="BodyText"/>
    <w:qFormat/>
    <w:pPr>
      <w:spacing w:after="120" w:line="300" w:lineRule="exact"/>
    </w:pPr>
    <w:rPr>
      <w:rFonts w:ascii="Arial" w:hAnsi="Arial" w:eastAsia="Noto Sans CJK TC"/>
      <w:sz w:val="21"/>
    </w:rPr>
  </w:style>
  <w:style w:customStyle="1" w:styleId="Compact" w:type="paragraph">
    <w:name w:val="Compact"/>
    <w:basedOn w:val="BodyText"/>
    <w:qFormat/>
    <w:pPr>
      <w:spacing w:after="120" w:before="36" w:line="300" w:lineRule="exact"/>
    </w:pPr>
    <w:rPr>
      <w:rFonts w:ascii="Arial" w:hAnsi="Arial" w:eastAsia="Noto Sans CJK TC"/>
      <w:sz w:val="21"/>
    </w:rPr>
  </w:style>
  <w:style w:styleId="Title" w:type="paragraph">
    <w:name w:val="Title"/>
    <w:basedOn w:val="Normal"/>
    <w:next w:val="BodyText"/>
    <w:qFormat/>
    <w:pPr>
      <w:keepNext/>
      <w:keepLines/>
      <w:spacing w:after="140" w:before="240" w:line="300" w:lineRule="exact"/>
      <w:jc w:val="center"/>
    </w:pPr>
    <w:rPr>
      <w:rFonts w:asciiTheme="majorHAnsi" w:cstheme="majorBidi" w:eastAsiaTheme="majorEastAsia" w:hAnsiTheme="majorHAnsi" w:ascii="Arial" w:hAnsi="Arial" w:eastAsia="Noto Sans CJK TC"/>
      <w:b/>
      <w:bCs/>
      <w:color w:val="000000"/>
      <w:sz w:val="34"/>
      <w:szCs w:val="36"/>
    </w:rPr>
  </w:style>
  <w:style w:styleId="Subtitle" w:type="paragraph">
    <w:name w:val="Subtitle"/>
    <w:basedOn w:val="Title"/>
    <w:next w:val="BodyText"/>
    <w:qFormat/>
    <w:pPr>
      <w:keepNext/>
      <w:keepLines/>
      <w:spacing w:after="120" w:before="240" w:line="300" w:lineRule="exact"/>
      <w:jc w:val="center"/>
    </w:pPr>
    <w:rPr>
      <w:rFonts w:ascii="Arial" w:hAnsi="Arial" w:eastAsia="Noto Sans CJK TC"/>
      <w:sz w:val="21"/>
      <w:szCs w:val="30"/>
    </w:rPr>
  </w:style>
  <w:style w:customStyle="1" w:styleId="Author" w:type="paragraph">
    <w:name w:val="Author"/>
    <w:next w:val="BodyText"/>
    <w:qFormat/>
    <w:pPr>
      <w:keepNext/>
      <w:keepLines/>
      <w:spacing w:after="120" w:line="300" w:lineRule="exact"/>
      <w:jc w:val="center"/>
    </w:pPr>
    <w:rPr>
      <w:rFonts w:ascii="Arial" w:hAnsi="Arial" w:eastAsia="Noto Sans CJK TC"/>
      <w:sz w:val="21"/>
    </w:rPr>
  </w:style>
  <w:style w:styleId="Date" w:type="paragraph">
    <w:name w:val="Date"/>
    <w:next w:val="BodyText"/>
    <w:qFormat/>
    <w:pPr>
      <w:keepNext/>
      <w:keepLines/>
      <w:spacing w:after="120" w:line="300" w:lineRule="exact"/>
      <w:jc w:val="center"/>
    </w:pPr>
    <w:rPr>
      <w:rFonts w:ascii="Arial" w:hAnsi="Arial" w:eastAsia="Noto Sans CJK TC"/>
      <w:sz w:val="21"/>
    </w:rPr>
  </w:style>
  <w:style w:customStyle="1" w:styleId="AbstractTitle" w:type="paragraph">
    <w:name w:val="Abstract Title"/>
    <w:basedOn w:val="Normal"/>
    <w:next w:val="Abstract"/>
    <w:qFormat/>
    <w:pPr>
      <w:keepNext/>
      <w:keepLines/>
      <w:spacing w:after="120" w:before="300" w:line="300" w:lineRule="exact"/>
      <w:jc w:val="center"/>
    </w:pPr>
    <w:rPr>
      <w:rFonts w:ascii="Arial" w:hAnsi="Arial" w:eastAsia="Noto Sans CJK TC"/>
      <w:b/>
      <w:color w:val="345A8A"/>
      <w:sz w:val="21"/>
      <w:szCs w:val="20"/>
    </w:rPr>
  </w:style>
  <w:style w:customStyle="1" w:styleId="Abstract" w:type="paragraph">
    <w:name w:val="Abstract"/>
    <w:basedOn w:val="Normal"/>
    <w:next w:val="BodyText"/>
    <w:qFormat/>
    <w:pPr>
      <w:keepNext/>
      <w:keepLines/>
      <w:spacing w:after="120" w:before="100" w:line="300" w:lineRule="exact"/>
    </w:pPr>
    <w:rPr>
      <w:rFonts w:ascii="Arial" w:hAnsi="Arial" w:eastAsia="Noto Sans CJK TC"/>
      <w:sz w:val="21"/>
      <w:szCs w:val="20"/>
    </w:rPr>
  </w:style>
  <w:style w:styleId="Bibliography" w:type="paragraph">
    <w:name w:val="Bibliography"/>
    <w:basedOn w:val="Normal"/>
    <w:next w:val="Bibliography"/>
    <w:qFormat/>
    <w:pPr>
      <w:spacing w:after="120" w:line="300" w:lineRule="exact"/>
    </w:pPr>
    <w:rPr>
      <w:rFonts w:ascii="Arial" w:hAnsi="Arial" w:eastAsia="Noto Sans CJK TC"/>
      <w:sz w:val="21"/>
    </w:rPr>
  </w:style>
  <w:style w:styleId="Heading1" w:type="paragraph">
    <w:name w:val="Heading 1"/>
    <w:basedOn w:val="Normal"/>
    <w:next w:val="BodyText"/>
    <w:uiPriority w:val="9"/>
    <w:qFormat/>
    <w:pPr>
      <w:keepNext/>
      <w:keepLines/>
      <w:spacing w:after="140" w:before="240" w:line="300" w:lineRule="exact"/>
      <w:outlineLvl w:val="0"/>
    </w:pPr>
    <w:rPr>
      <w:rFonts w:asciiTheme="majorHAnsi" w:cstheme="majorBidi" w:eastAsiaTheme="majorEastAsia" w:hAnsiTheme="majorHAnsi" w:ascii="Arial" w:hAnsi="Arial" w:eastAsia="Noto Sans CJK TC"/>
      <w:b/>
      <w:bCs/>
      <w:color w:val="000000"/>
      <w:sz w:val="34"/>
      <w:szCs w:val="32"/>
    </w:rPr>
  </w:style>
  <w:style w:styleId="Heading2" w:type="paragraph">
    <w:name w:val="Heading 2"/>
    <w:basedOn w:val="Normal"/>
    <w:next w:val="BodyText"/>
    <w:uiPriority w:val="9"/>
    <w:unhideWhenUsed/>
    <w:qFormat/>
    <w:pPr>
      <w:keepNext/>
      <w:keepLines/>
      <w:spacing w:after="140" w:before="240" w:line="300" w:lineRule="exact"/>
      <w:outlineLvl w:val="1"/>
    </w:pPr>
    <w:rPr>
      <w:rFonts w:asciiTheme="majorHAnsi" w:cstheme="majorBidi" w:eastAsiaTheme="majorEastAsia" w:hAnsiTheme="majorHAnsi" w:ascii="Arial" w:hAnsi="Arial" w:eastAsia="Noto Sans CJK TC"/>
      <w:b/>
      <w:bCs/>
      <w:color w:val="000000"/>
      <w:sz w:val="27"/>
      <w:szCs w:val="28"/>
    </w:rPr>
  </w:style>
  <w:style w:styleId="Heading3" w:type="paragraph">
    <w:name w:val="Heading 3"/>
    <w:basedOn w:val="Normal"/>
    <w:next w:val="BodyText"/>
    <w:uiPriority w:val="9"/>
    <w:unhideWhenUsed/>
    <w:qFormat/>
    <w:pPr>
      <w:keepNext/>
      <w:keepLines/>
      <w:spacing w:after="140" w:before="240" w:line="300" w:lineRule="exact"/>
      <w:outlineLvl w:val="2"/>
    </w:pPr>
    <w:rPr>
      <w:rFonts w:asciiTheme="majorHAnsi" w:cstheme="majorBidi" w:eastAsiaTheme="majorEastAsia" w:hAnsiTheme="majorHAnsi" w:ascii="Arial" w:hAnsi="Arial" w:eastAsia="Noto Sans CJK TC"/>
      <w:b/>
      <w:bCs/>
      <w:color w:val="000000"/>
      <w:sz w:val="23"/>
      <w:szCs w:val="24"/>
    </w:rPr>
  </w:style>
  <w:style w:styleId="Heading4" w:type="paragraph">
    <w:name w:val="Heading 4"/>
    <w:basedOn w:val="Normal"/>
    <w:next w:val="BodyText"/>
    <w:uiPriority w:val="9"/>
    <w:unhideWhenUsed/>
    <w:qFormat/>
    <w:pPr>
      <w:keepNext/>
      <w:keepLines/>
      <w:spacing w:after="120" w:before="200" w:line="300" w:lineRule="exact"/>
      <w:outlineLvl w:val="3"/>
    </w:pPr>
    <w:rPr>
      <w:rFonts w:asciiTheme="majorHAnsi" w:cstheme="majorBidi" w:eastAsiaTheme="majorEastAsia" w:hAnsiTheme="majorHAnsi" w:ascii="Arial" w:hAnsi="Arial" w:eastAsia="Noto Sans CJK TC"/>
      <w:bCs/>
      <w:i/>
      <w:color w:themeColor="accent1" w:val="4F81BD"/>
      <w:sz w:val="21"/>
      <w:szCs w:val="24"/>
    </w:rPr>
  </w:style>
  <w:style w:styleId="Heading5" w:type="paragraph">
    <w:name w:val="Heading 5"/>
    <w:basedOn w:val="Normal"/>
    <w:next w:val="BodyText"/>
    <w:uiPriority w:val="9"/>
    <w:unhideWhenUsed/>
    <w:qFormat/>
    <w:pPr>
      <w:keepNext/>
      <w:keepLines/>
      <w:spacing w:after="120" w:before="200" w:line="300" w:lineRule="exact"/>
      <w:outlineLvl w:val="4"/>
    </w:pPr>
    <w:rPr>
      <w:rFonts w:asciiTheme="majorHAnsi" w:cstheme="majorBidi" w:eastAsiaTheme="majorEastAsia" w:hAnsiTheme="majorHAnsi" w:ascii="Arial" w:hAnsi="Arial" w:eastAsia="Noto Sans CJK TC"/>
      <w:iCs/>
      <w:color w:themeColor="accent1" w:val="4F81BD"/>
      <w:sz w:val="21"/>
      <w:szCs w:val="24"/>
    </w:rPr>
  </w:style>
  <w:style w:styleId="Heading6" w:type="paragraph">
    <w:name w:val="Heading 6"/>
    <w:basedOn w:val="Normal"/>
    <w:next w:val="BodyText"/>
    <w:uiPriority w:val="9"/>
    <w:unhideWhenUsed/>
    <w:qFormat/>
    <w:pPr>
      <w:keepNext/>
      <w:keepLines/>
      <w:spacing w:after="120" w:before="200" w:line="300" w:lineRule="exact"/>
      <w:outlineLvl w:val="5"/>
    </w:pPr>
    <w:rPr>
      <w:rFonts w:asciiTheme="majorHAnsi" w:cstheme="majorBidi" w:eastAsiaTheme="majorEastAsia" w:hAnsiTheme="majorHAnsi" w:ascii="Arial" w:hAnsi="Arial" w:eastAsia="Noto Sans CJK TC"/>
      <w:color w:themeColor="accent1" w:val="4F81BD"/>
      <w:sz w:val="21"/>
      <w:szCs w:val="24"/>
    </w:rPr>
  </w:style>
  <w:style w:styleId="Heading7" w:type="paragraph">
    <w:name w:val="Heading 7"/>
    <w:basedOn w:val="Normal"/>
    <w:next w:val="BodyText"/>
    <w:uiPriority w:val="9"/>
    <w:unhideWhenUsed/>
    <w:qFormat/>
    <w:pPr>
      <w:keepNext/>
      <w:keepLines/>
      <w:spacing w:after="120" w:before="200" w:line="300" w:lineRule="exact"/>
      <w:outlineLvl w:val="6"/>
    </w:pPr>
    <w:rPr>
      <w:rFonts w:asciiTheme="majorHAnsi" w:cstheme="majorBidi" w:eastAsiaTheme="majorEastAsia" w:hAnsiTheme="majorHAnsi" w:ascii="Arial" w:hAnsi="Arial" w:eastAsia="Noto Sans CJK TC"/>
      <w:color w:themeColor="accent1" w:val="4F81BD"/>
      <w:sz w:val="21"/>
      <w:szCs w:val="24"/>
    </w:rPr>
  </w:style>
  <w:style w:styleId="Heading8" w:type="paragraph">
    <w:name w:val="Heading 8"/>
    <w:basedOn w:val="Normal"/>
    <w:next w:val="BodyText"/>
    <w:uiPriority w:val="9"/>
    <w:unhideWhenUsed/>
    <w:qFormat/>
    <w:pPr>
      <w:keepNext/>
      <w:keepLines/>
      <w:spacing w:after="120" w:before="200" w:line="300" w:lineRule="exact"/>
      <w:outlineLvl w:val="7"/>
    </w:pPr>
    <w:rPr>
      <w:rFonts w:asciiTheme="majorHAnsi" w:cstheme="majorBidi" w:eastAsiaTheme="majorEastAsia" w:hAnsiTheme="majorHAnsi" w:ascii="Arial" w:hAnsi="Arial" w:eastAsia="Noto Sans CJK TC"/>
      <w:color w:themeColor="accent1" w:val="4F81BD"/>
      <w:sz w:val="21"/>
      <w:szCs w:val="24"/>
    </w:rPr>
  </w:style>
  <w:style w:styleId="Heading9" w:type="paragraph">
    <w:name w:val="Heading 9"/>
    <w:basedOn w:val="Normal"/>
    <w:next w:val="BodyText"/>
    <w:uiPriority w:val="9"/>
    <w:unhideWhenUsed/>
    <w:qFormat/>
    <w:pPr>
      <w:keepNext/>
      <w:keepLines/>
      <w:spacing w:after="120" w:before="200" w:line="300" w:lineRule="exact"/>
      <w:outlineLvl w:val="8"/>
    </w:pPr>
    <w:rPr>
      <w:rFonts w:asciiTheme="majorHAnsi" w:cstheme="majorBidi" w:eastAsiaTheme="majorEastAsia" w:hAnsiTheme="majorHAnsi" w:ascii="Arial" w:hAnsi="Arial" w:eastAsia="Noto Sans CJK TC"/>
      <w:color w:themeColor="accent1" w:val="4F81BD"/>
      <w:sz w:val="21"/>
      <w:szCs w:val="24"/>
    </w:rPr>
  </w:style>
  <w:style w:styleId="BlockText" w:type="paragraph">
    <w:name w:val="Block Text"/>
    <w:basedOn w:val="BodyText"/>
    <w:next w:val="BodyText"/>
    <w:uiPriority w:val="9"/>
    <w:unhideWhenUsed/>
    <w:qFormat/>
    <w:pPr>
      <w:spacing w:after="120" w:before="100" w:line="300" w:lineRule="exact"/>
      <w:ind w:firstLine="0" w:left="480" w:right="480"/>
    </w:pPr>
    <w:rPr>
      <w:rFonts w:ascii="Arial" w:hAnsi="Arial" w:eastAsia="Noto Sans CJK TC"/>
      <w:sz w:val="21"/>
    </w:rPr>
  </w:style>
  <w:style w:styleId="FootnoteText" w:type="paragraph">
    <w:name w:val="Footnote Text"/>
    <w:basedOn w:val="Normal"/>
    <w:next w:val="FootnoteText"/>
    <w:uiPriority w:val="9"/>
    <w:unhideWhenUsed/>
    <w:qFormat/>
    <w:pPr>
      <w:spacing w:after="120" w:line="300" w:lineRule="exact"/>
    </w:pPr>
    <w:rPr>
      <w:rFonts w:ascii="Arial" w:hAnsi="Arial" w:eastAsia="Noto Sans CJK TC"/>
      <w:sz w:val="21"/>
    </w:rPr>
  </w:style>
  <w:style w:styleId="FootnoteBlockText" w:type="paragraph">
    <w:name w:val="Footnote Block Text"/>
    <w:basedOn w:val="Footnote Text"/>
    <w:next w:val="Footnote Text"/>
    <w:uiPriority w:val="9"/>
    <w:unhideWhenUsed/>
    <w:qFormat/>
    <w:pPr>
      <w:spacing w:after="120" w:before="100" w:line="300" w:lineRule="exact"/>
      <w:ind w:firstLine="0" w:left="480" w:right="480"/>
    </w:pPr>
    <w:rPr>
      <w:rFonts w:ascii="Arial" w:hAnsi="Arial" w:eastAsia="Noto Sans CJK TC"/>
      <w:sz w:val="21"/>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120" w:line="300" w:lineRule="exact"/>
    </w:pPr>
    <w:rPr>
      <w:rFonts w:ascii="Arial" w:hAnsi="Arial" w:eastAsia="Noto Sans CJK TC"/>
      <w:b/>
      <w:sz w:val="21"/>
    </w:rPr>
  </w:style>
  <w:style w:customStyle="1" w:styleId="Definition" w:type="paragraph">
    <w:name w:val="Definition"/>
    <w:basedOn w:val="Normal"/>
    <w:pPr>
      <w:spacing w:after="120" w:line="300" w:lineRule="exact"/>
    </w:pPr>
    <w:rPr>
      <w:rFonts w:ascii="Arial" w:hAnsi="Arial" w:eastAsia="Noto Sans CJK TC"/>
      <w:sz w:val="21"/>
    </w:rPr>
  </w:style>
  <w:style w:styleId="Caption" w:type="paragraph">
    <w:name w:val="Caption"/>
    <w:basedOn w:val="Normal"/>
    <w:link w:val="BodyTextChar"/>
    <w:pPr>
      <w:spacing w:after="120" w:before="0" w:line="300" w:lineRule="exact"/>
    </w:pPr>
    <w:rPr>
      <w:rFonts w:ascii="Arial" w:hAnsi="Arial" w:eastAsia="Noto Sans CJK TC"/>
      <w:i/>
      <w:sz w:val="21"/>
    </w:rPr>
  </w:style>
  <w:style w:customStyle="1" w:styleId="TableCaption" w:type="paragraph">
    <w:name w:val="Table Caption"/>
    <w:basedOn w:val="Caption"/>
    <w:pPr>
      <w:keepNext/>
      <w:spacing w:after="120" w:line="300" w:lineRule="exact"/>
    </w:pPr>
    <w:rPr>
      <w:rFonts w:ascii="Arial" w:hAnsi="Arial" w:eastAsia="Noto Sans CJK TC"/>
      <w:sz w:val="21"/>
    </w:rPr>
  </w:style>
  <w:style w:customStyle="1" w:styleId="ImageCaption" w:type="paragraph">
    <w:name w:val="Image Caption"/>
    <w:basedOn w:val="Caption"/>
    <w:pPr>
      <w:spacing w:after="120" w:line="300" w:lineRule="exact"/>
    </w:pPr>
    <w:rPr>
      <w:rFonts w:ascii="Arial" w:hAnsi="Arial" w:eastAsia="Noto Sans CJK TC"/>
      <w:sz w:val="21"/>
    </w:rPr>
  </w:style>
  <w:style w:customStyle="1" w:styleId="Figure" w:type="paragraph">
    <w:name w:val="Figure"/>
    <w:basedOn w:val="Normal"/>
    <w:pPr>
      <w:spacing w:after="120" w:line="300" w:lineRule="exact"/>
    </w:pPr>
    <w:rPr>
      <w:rFonts w:ascii="Arial" w:hAnsi="Arial" w:eastAsia="Noto Sans CJK TC"/>
      <w:sz w:val="21"/>
    </w:rPr>
  </w:style>
  <w:style w:customStyle="1" w:styleId="CaptionedFigure" w:type="paragraph">
    <w:name w:val="Captioned Figure"/>
    <w:basedOn w:val="Figure"/>
    <w:pPr>
      <w:keepNext/>
      <w:spacing w:after="120" w:line="300" w:lineRule="exact"/>
    </w:pPr>
    <w:rPr>
      <w:rFonts w:ascii="Arial" w:hAnsi="Arial" w:eastAsia="Noto Sans CJK TC"/>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300" w:lineRule="exact" w:after="120"/>
      <w:outlineLvl w:val="9"/>
    </w:pPr>
    <w:rPr>
      <w:rFonts w:asciiTheme="majorHAnsi" w:cstheme="majorBidi" w:eastAsiaTheme="majorEastAsia" w:hAnsiTheme="majorHAnsi" w:ascii="Arial" w:hAnsi="Arial" w:eastAsia="Noto Sans CJK TC"/>
      <w:b w:val="0"/>
      <w:bCs w:val="0"/>
      <w:color w:themeColor="accent1" w:themeShade="BF" w:val="365F91"/>
      <w:sz w:val="21"/>
    </w:rPr>
  </w:style>
  <w:style w:type="paragraph" w:customStyle="1" w:styleId="SourceCode">
    <w:name w:val="Source Code"/>
    <w:basedOn w:val="Normal"/>
    <w:link w:val="VerbatimChar"/>
    <w:pPr>
      <w:wordWrap w:val="off"/>
      <w:spacing w:after="120" w:line="300" w:lineRule="exact"/>
    </w:pPr>
    <w:rPr>
      <w:rFonts w:ascii="Noto Sans Mono CJK TC" w:hAnsi="Noto Sans Mono CJK TC" w:eastAsia="Noto Sans CJK TC"/>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2026-05-23T01:08:50Z</dcterms:created>
  <dcterms:modified xsi:type="dcterms:W3CDTF">2026-05-23T01:08:50Z</dcterms:modified>
</cp:coreProperties>
</file>

<file path=docProps/custom.xml><?xml version="1.0" encoding="utf-8"?>
<Properties xmlns="http://schemas.openxmlformats.org/officeDocument/2006/custom-properties" xmlns:vt="http://schemas.openxmlformats.org/officeDocument/2006/docPropsVTypes"/>
</file>