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Example — Literature Review Deliverable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b/>
          <w:bCs/>
          <w:i/>
          <w:iCs/>
          <w:color w:val="5A5A5A"/>
          <w:sz w:val="19"/>
          <w:szCs w:val="19"/>
        </w:rPr>
        <w:t xml:space="preserve">SYNTHETIC EXAMPLE.</w:t>
      </w:r>
      <w:r>
        <w:rPr>
          <w:i/>
          <w:iCs/>
          <w:color w:val="5A5A5A"/>
          <w:sz w:val="19"/>
          <w:szCs w:val="19"/>
        </w:rPr>
        <w:t xml:space="preserve"> Every paper, author, identifier, and number below is </w:t>
      </w:r>
      <w:r>
        <w:rPr>
          <w:b/>
          <w:bCs/>
          <w:i/>
          <w:iCs/>
          <w:color w:val="5A5A5A"/>
          <w:sz w:val="19"/>
          <w:szCs w:val="19"/>
        </w:rPr>
        <w:t xml:space="preserve">fabricated</w:t>
      </w:r>
      <w:r>
        <w:rPr>
          <w:i/>
          <w:iCs/>
          <w:color w:val="5A5A5A"/>
          <w:sz w:val="19"/>
          <w:szCs w:val="19"/>
        </w:rPr>
        <w:t xml:space="preserve"> to illustrate the </w:t>
      </w:r>
      <w:r>
        <w:rPr>
          <w:i/>
          <w:iCs/>
          <w:color w:val="5A5A5A"/>
          <w:sz w:val="19"/>
          <w:szCs w:val="19"/>
        </w:rPr>
        <w:t xml:space="preserve">shape</w:t>
      </w:r>
      <w:r>
        <w:rPr>
          <w:i/>
          <w:iCs/>
          <w:color w:val="5A5A5A"/>
          <w:sz w:val="19"/>
          <w:szCs w:val="19"/>
        </w:rPr>
        <w:t xml:space="preserve"> of a research-hub literature-review deliverable. Nothing here refers to a real publication. In a real run, all citations are real and resolvable. — No real maintainer artifacts (per the catalog's [</w:t>
      </w:r>
      <w:r>
        <w:rPr>
          <w:rFonts w:ascii="Consolas" w:cs="Consolas" w:eastAsia="Consolas" w:hAnsi="Consolas"/>
          <w:i/>
          <w:iCs/>
          <w:color w:val="5A5A5A"/>
          <w:sz w:val="19"/>
          <w:szCs w:val="19"/>
        </w:rPr>
        <w:t xml:space="preserve">## Limitations</w:t>
      </w:r>
      <w:r>
        <w:rPr>
          <w:i/>
          <w:iCs/>
          <w:color w:val="5A5A5A"/>
          <w:sz w:val="19"/>
          <w:szCs w:val="19"/>
        </w:rPr>
        <w:t xml:space="preserve">](../README.md) policy). Languages: [English](example-literature-review-deliverable.md) | [繁中](example-literature-review-deliverable.zh-TW.md)</w:t>
      </w:r>
    </w:p>
    <w:p>
      <w:pPr>
        <w:spacing w:after="80" w:before="80"/>
      </w:pPr>
      <w:r>
        <w:t xml:space="preserve">This is the consolidated end-to-end output of the research-hub pipeline (</w:t>
      </w:r>
      <w:r>
        <w:rPr>
          <w:rFonts w:ascii="Consolas" w:cs="Consolas" w:eastAsia="Consolas" w:hAnsi="Consolas"/>
          <w:sz w:val="19"/>
          <w:szCs w:val="19"/>
        </w:rPr>
        <w:t xml:space="preserve">search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literature-triage-matrix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research-design-helper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paper-memory-builder</w:t>
      </w:r>
      <w:r>
        <w:t xml:space="preserve">) — the single document those skills add up to.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b/>
          <w:bCs/>
          <w:i/>
          <w:iCs/>
          <w:color w:val="5A5A5A"/>
          <w:sz w:val="19"/>
          <w:szCs w:val="19"/>
        </w:rPr>
        <w:t xml:space="preserve">Template note:</w:t>
      </w:r>
      <w:r>
        <w:rPr>
          <w:i/>
          <w:iCs/>
          <w:color w:val="5A5A5A"/>
          <w:sz w:val="19"/>
          <w:szCs w:val="19"/>
        </w:rPr>
        <w:t xml:space="preserve"> this file is BOTH a worked example AND the reusable section contract. Each </w:t>
      </w:r>
      <w:r>
        <w:rPr>
          <w:rFonts w:ascii="Consolas" w:cs="Consolas" w:eastAsia="Consolas" w:hAnsi="Consolas"/>
          <w:i/>
          <w:iCs/>
          <w:color w:val="5A5A5A"/>
          <w:sz w:val="19"/>
          <w:szCs w:val="19"/>
        </w:rPr>
        <w:t xml:space="preserve">&gt;</w:t>
      </w:r>
      <w:r>
        <w:rPr>
          <w:i/>
          <w:iCs/>
          <w:color w:val="5A5A5A"/>
          <w:sz w:val="19"/>
          <w:szCs w:val="19"/>
        </w:rPr>
        <w:t xml:space="preserve"> italic note states what the section must contain. To reuse: keep the section structure and the italic contracts, replace the synthetic content with your own corpus.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 LLMs reproduce human-style cognitive biases on classic cognitive-science paradigms?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Anchoring / framing / persona effects; model scale, prompt detail, and applied-domain risk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Corpus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 papers — abstracts only, not full-text (synthetic)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Compiled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2026-01-15 (synthetic date)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Pipeline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research-hub: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search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literature-triage-matrix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research-design-helper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paper-memory-builder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Evidence grade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Screening-grade triage — </w:t>
            </w:r>
            <w:r>
              <w:rPr>
                <w:b/>
                <w:bCs/>
                <w:sz w:val="19"/>
                <w:szCs w:val="19"/>
              </w:rPr>
              <w:t xml:space="preserve">NOT a systematic review</w:t>
            </w:r>
          </w:p>
        </w:tc>
      </w:tr>
    </w:tbl>
    <w:p>
      <w:pPr>
        <w:spacing w:after="80"/>
      </w:pPr>
    </w:p>
    <w:p>
      <w:pPr>
        <w:pStyle w:val="Heading2"/>
        <w:pageBreakBefore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t xml:space="preserve">1. TL;DR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3–6 bullets: the headline findings, the main disagreement, the sharpest gap. A reader who stops here should still know what to do next.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Cognitive biases appear broadly in current LLMs.</w:t>
      </w:r>
      <w:r>
        <w:t xml:space="preserve"> A 40-model benchmark (Banerjee et al. 2025) reports bias-consistent responses in 22–61% of items across 12 bias categories; anchoring specifically is confirmed independently (Reyes &amp; Okafor 2024).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Mitigation is the central disagreement.</w:t>
      </w:r>
      <w:r>
        <w:t xml:space="preserve"> Reyes &amp; Okafor (2024) find simple prompt-based fixes cut anchoring by only ~10%; Achebe et al. (2024) report a structured self-audit prompt removes most of the effect. The two use different tasks and metrics, so they cannot yet be ranked.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Biases reach applied settings</w:t>
      </w:r>
      <w:r>
        <w:t xml:space="preserve"> — Voss &amp; Hartman (2025) show cognitive biases can be exploited as a black-box manipulation surface in LLM recommenders.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Sharpest gap [G1]:</w:t>
      </w:r>
      <w:r>
        <w:t xml:space="preserve"> no study reports a standardized </w:t>
      </w:r>
      <w:r>
        <w:rPr>
          <w:i/>
          <w:iCs/>
        </w:rPr>
        <w:t xml:space="preserve">free-response</w:t>
      </w:r>
      <w:r>
        <w:t xml:space="preserve"> effect size for anchoring — the corpus speaks only in rates and percentages.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Corpus caveat:</w:t>
      </w:r>
      <w:r>
        <w:t xml:space="preserve"> 6 papers, abstracts only — a first-pass triage that scopes a study, not settled evidence.</w:t>
      </w:r>
    </w:p>
    <w:p>
      <w:pPr>
        <w:pStyle w:val="Heading2"/>
      </w:pPr>
      <w:r>
        <w:t xml:space="preserve">2. Literature inventory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One row per source. Minimum columns: ID, citation, year, evidence type (empirical / conceptual), relevance grade with a one-line reason.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60"/>
        <w:gridCol w:w="1480"/>
        <w:gridCol w:w="280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Citation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Relevance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Reyes &amp; Okafor — </w:t>
            </w:r>
            <w:r>
              <w:rPr>
                <w:i/>
                <w:iCs/>
                <w:sz w:val="19"/>
                <w:szCs w:val="19"/>
              </w:rPr>
              <w:t xml:space="preserve">Anchoring Effects in Instruction-Tuned Language Models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Empirical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High</w:t>
            </w:r>
            <w:r>
              <w:rPr>
                <w:sz w:val="19"/>
                <w:szCs w:val="19"/>
              </w:rPr>
              <w:t xml:space="preserve"> — direct anchoring evidence + negative result on simple mitigation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S2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Lindqvist et al. — </w:t>
            </w:r>
            <w:r>
              <w:rPr>
                <w:i/>
                <w:iCs/>
                <w:sz w:val="19"/>
                <w:szCs w:val="19"/>
              </w:rPr>
              <w:t xml:space="preserve">Cognitive Bias Risk in LLM Decision Support: A Position Paper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Conceptual / position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  <w:r>
              <w:rPr>
                <w:sz w:val="19"/>
                <w:szCs w:val="19"/>
              </w:rPr>
              <w:t xml:space="preserve"> — risk framing; not an empirical anchor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Banerjee et al. — </w:t>
            </w:r>
            <w:r>
              <w:rPr>
                <w:i/>
                <w:iCs/>
                <w:sz w:val="19"/>
                <w:szCs w:val="19"/>
              </w:rPr>
              <w:t xml:space="preserve">BiasGrid: A 40-Model Benchmark of Cognitive Bias Prevalence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Empirical + benchmark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High</w:t>
            </w:r>
            <w:r>
              <w:rPr>
                <w:sz w:val="19"/>
                <w:szCs w:val="19"/>
              </w:rPr>
              <w:t xml:space="preserve"> — broadest controlled evaluation in the corpus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S4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Sato &amp; Pellegrini — </w:t>
            </w:r>
            <w:r>
              <w:rPr>
                <w:i/>
                <w:iCs/>
                <w:sz w:val="19"/>
                <w:szCs w:val="19"/>
              </w:rPr>
              <w:t xml:space="preserve">Persona Conditioning and Bias Susceptibility in LLMs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Empirical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Medium</w:t>
            </w:r>
            <w:r>
              <w:rPr>
                <w:sz w:val="19"/>
                <w:szCs w:val="19"/>
              </w:rPr>
              <w:t xml:space="preserve"> — adds a persona-moderator angle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S5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Achebe et al. — </w:t>
            </w:r>
            <w:r>
              <w:rPr>
                <w:i/>
                <w:iCs/>
                <w:sz w:val="19"/>
                <w:szCs w:val="19"/>
              </w:rPr>
              <w:t xml:space="preserve">Self-Audit Prompting Reduces Anchoring in Generative Models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Empirical + framework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High</w:t>
            </w:r>
            <w:r>
              <w:rPr>
                <w:sz w:val="19"/>
                <w:szCs w:val="19"/>
              </w:rPr>
              <w:t xml:space="preserve"> — proposes a mitigation that works where simple prompts fail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S6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Voss &amp; Hartman — </w:t>
            </w:r>
            <w:r>
              <w:rPr>
                <w:i/>
                <w:iCs/>
                <w:sz w:val="19"/>
                <w:szCs w:val="19"/>
              </w:rPr>
              <w:t xml:space="preserve">Cognitive Bias as an Adversarial Surface in LLM Recommenders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Empirical (applied)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Medium-High</w:t>
            </w:r>
            <w:r>
              <w:rPr>
                <w:sz w:val="19"/>
                <w:szCs w:val="19"/>
              </w:rPr>
              <w:t xml:space="preserve"> — biases as a manipulation vector in a deployed setting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Per-paper summary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For each source: research question · method · sample · key findings (quantified ONLY where the source quantifies) · author-acknowledged limitation · how to use it. Never invent numbers the abstract does not give — write "not specified in abstract" instead.</w:t>
      </w:r>
    </w:p>
    <w:p>
      <w:pPr>
        <w:pStyle w:val="Heading3"/>
      </w:pPr>
      <w:r>
        <w:t xml:space="preserve">S1 — Reyes &amp; Okafor 2024 — Anchoring Effects in Instruction-Tuned Language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Question / method:</w:t>
      </w:r>
      <w:r>
        <w:t xml:space="preserve"> Does anchoring appear in instruction-tuned LLMs, and do prompt-based fixes remove it? Numeric-estimation tasks with seeded anchors; four prompt-based mitigation strategies compared.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Sample:</w:t>
      </w:r>
      <w:r>
        <w:t xml:space="preserve"> 8 instruction-tuned models; 1,800 estimation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Findings:</w:t>
      </w:r>
      <w:r>
        <w:t xml:space="preserve"> Anchoring is robust; the four prompt-based mitigations reduce the effect by only ~10% on average.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Limitation:</w:t>
      </w:r>
      <w:r>
        <w:t xml:space="preserve"> Numeric-estimation tasks only; no free-response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Use as:</w:t>
      </w:r>
      <w:r>
        <w:t xml:space="preserve"> §"anchoring-specific evidence"; cite for "simple debiasing fails".</w:t>
      </w:r>
    </w:p>
    <w:p>
      <w:pPr>
        <w:pStyle w:val="Heading3"/>
      </w:pPr>
      <w:r>
        <w:t xml:space="preserve">S2 — Lindqvist et al. 2024 — Cognitive Bias Risk in LLM Decision Support: A Position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Question / method:</w:t>
      </w:r>
      <w:r>
        <w:t xml:space="preserve"> What cognitive-bias risks face LLM decision-support deployments? Conceptual synthesis; no measurement.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Sample:</w:t>
      </w:r>
      <w:r>
        <w:t xml:space="preserve"> None.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Findings:</w:t>
      </w:r>
      <w:r>
        <w:t xml:space="preserve"> Identifies five bias families as deployment risks; proposes a mitigation research agenda.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Limitation:</w:t>
      </w:r>
      <w:r>
        <w:t xml:space="preserve"> No empirical evaluation — agenda-setting, not evidence.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Use as:</w:t>
      </w:r>
      <w:r>
        <w:t xml:space="preserve"> Introduction §"why this matters"; motivation only.</w:t>
      </w:r>
    </w:p>
    <w:p>
      <w:pPr>
        <w:pStyle w:val="Heading3"/>
      </w:pPr>
      <w:r>
        <w:t xml:space="preserve">S3 — Banerjee et al. 2025 — BiasGrid: A 40-Model Benchmark of Cognitive Bias Prevalence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Question / method:</w:t>
      </w:r>
      <w:r>
        <w:t xml:space="preserve"> How prevalent are cognitive biases across many LLMs, and how does model size affect them? Multiple-choice benchmark; 12 bias categories; controlled prompt variation.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Sample:</w:t>
      </w:r>
      <w:r>
        <w:t xml:space="preserve"> 40 models × 600 items = 24,000 evaluations.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Findings:</w:t>
      </w:r>
      <w:r>
        <w:t xml:space="preserve"> Bias-consistent responses in 22–61% of items across the 12 categories; models &gt;70B reduce bias in roughly one-third of cases; detailed prompts help most biases but worsen confirmation framing.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Limitation:</w:t>
      </w:r>
      <w:r>
        <w:t xml:space="preserve"> Multiple-choice format; free-response behaviour untested.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Use as:</w:t>
      </w:r>
      <w:r>
        <w:t xml:space="preserve"> Methods §"evaluation framework"; Results §"prevalence numbers".</w:t>
      </w:r>
    </w:p>
    <w:p>
      <w:pPr>
        <w:pStyle w:val="Heading3"/>
      </w:pPr>
      <w:r>
        <w:t xml:space="preserve">S4 — Sato &amp; Pellegrini 2025 — Persona Conditioning and Bias Susceptibility in LLMs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Question / method:</w:t>
      </w:r>
      <w:r>
        <w:t xml:space="preserve"> Do assigned personas change bias susceptibility? Persona-conditioned evaluation across model architectures.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Sample:</w:t>
      </w:r>
      <w:r>
        <w:t xml:space="preserve"> Not specified in abstract.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Findings:</w:t>
      </w:r>
      <w:r>
        <w:t xml:space="preserve"> Analytical personas lower bias susceptibility; "expert" personas raise overconfidence bias.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Limitation:</w:t>
      </w:r>
      <w:r>
        <w:t xml:space="preserve"> The operationalization of "persona" is opaque.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Use as:</w:t>
      </w:r>
      <w:r>
        <w:t xml:space="preserve"> Discussion §"moderators of bias"; counterpoint on variability.</w:t>
      </w:r>
    </w:p>
    <w:p>
      <w:pPr>
        <w:pStyle w:val="Heading3"/>
      </w:pPr>
      <w:r>
        <w:t xml:space="preserve">S5 — Achebe et al. 2024 — Self-Audit Prompting Reduces Anchoring in Generative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Question / method:</w:t>
      </w:r>
      <w:r>
        <w:t xml:space="preserve"> Can a structured self-audit prompt mitigate anchoring? Proposes a two-pass "self-audit" prompt; compares to baselines.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Sample:</w:t>
      </w:r>
      <w:r>
        <w:t xml:space="preserve"> Not specified in abstract.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Findings:</w:t>
      </w:r>
      <w:r>
        <w:t xml:space="preserve"> Self-audit prompting removes most of the anchoring effect on the tested task family — where simple Chain-of-Thought did not.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Limitation:</w:t>
      </w:r>
      <w:r>
        <w:t xml:space="preserve"> Tested on a single task family.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Use as:</w:t>
      </w:r>
      <w:r>
        <w:t xml:space="preserve"> Methods §"mitigation frameworks"; direct counterpoint to S1.</w:t>
      </w:r>
    </w:p>
    <w:p>
      <w:pPr>
        <w:pStyle w:val="Heading3"/>
      </w:pPr>
      <w:r>
        <w:t xml:space="preserve">S6 — Voss &amp; Hartman 2025 — Cognitive Bias as an Adversarial Surface in LLM Recommenders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Question / method:</w:t>
      </w:r>
      <w:r>
        <w:t xml:space="preserve"> Can cognitive biases be exploited to manipulate LLM recommenders? Black-box manipulation of item descriptions using bias principles.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Sample:</w:t>
      </w:r>
      <w:r>
        <w:t xml:space="preserve"> One recommender setup; multiple model scales.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Findings:</w:t>
      </w:r>
      <w:r>
        <w:t xml:space="preserve"> "Social proof" framing reliably boosts an item's recommendation rank; the manipulation is hard to detect.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Limitation:</w:t>
      </w:r>
      <w:r>
        <w:t xml:space="preserve"> One recommender setup; no mitigation evaluated.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Use as:</w:t>
      </w:r>
      <w:r>
        <w:t xml:space="preserve"> §"applied risk / biases as an attack surface".</w:t>
      </w:r>
    </w:p>
    <w:p>
      <w:pPr>
        <w:pStyle w:val="Heading2"/>
      </w:pPr>
      <w:r>
        <w:t xml:space="preserve">4. Cross-paper synthesis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What the corpus agrees on, where it disagrees (name the papers), and how to reconcile. Flag low-evidence sources explicitly. Do not smooth over a disagreement — surface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Convergence — biases are broadly present.</w:t>
      </w:r>
      <w:r>
        <w:t xml:space="preserve"> S1 and S3 independently confirm that cognitive biases (anchoring in particular) appear across many models. The </w:t>
      </w:r>
      <w:r>
        <w:rPr>
          <w:i/>
          <w:iCs/>
        </w:rPr>
        <w:t xml:space="preserve">existence</w:t>
      </w:r>
      <w:r>
        <w:t xml:space="preserve"> of the phenomenon is the corpus's most defensible claim.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Central disagreement — does mitigation work?</w:t>
      </w:r>
      <w:r>
        <w:t xml:space="preserve"> S1 reports simple prompt-based fixes cut anchoring by only ~10%; S5 reports a structured self-audit prompt removes most of it. They use different tasks and metrics, so the disagreement cannot be resolved from abstracts — it is itself a gap ([G5]).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Applied risk</w:t>
      </w:r>
      <w:r>
        <w:t xml:space="preserve"> is an emerging theme — S6 reframes cognitive bias as an exploitable manipulation surface, not only a fairness concern.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Moderators</w:t>
      </w:r>
      <w:r>
        <w:t xml:space="preserve"> — S4 adds that an assigned persona shifts susceptibility, which complicates any single "prevalence"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Low-evidence flag:</w:t>
      </w:r>
      <w:r>
        <w:t xml:space="preserve"> S2 is a position paper with no measurement — use it for motivation, never as an evidence anchor.</w:t>
      </w:r>
    </w:p>
    <w:p>
      <w:pPr>
        <w:pStyle w:val="Heading2"/>
      </w:pPr>
      <w:r>
        <w:t xml:space="preserve">5. Research gaps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Each gap = (a) a one-sentence statement, (b) the evidence that it IS a gap — which papers fail to cover it, (c) what would close it. Gaps tagged `[G-n]`. A gap that maps to a planned study carries the claim ID from `.paper/claims.yml`.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90"/>
        <w:gridCol w:w="3570"/>
        <w:gridCol w:w="20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is a gap (evidence)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would close it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---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[G1]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standardized free-response effect size for LLM anchoring. </w:t>
            </w:r>
            <w:r>
              <w:rPr>
                <w:i/>
                <w:iCs/>
                <w:sz w:val="19"/>
                <w:szCs w:val="19"/>
              </w:rPr>
              <w:t xml:space="preserve">(→ claims.yml C6, status: gap)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S1 uses numeric-estimation tasks; S3 uses multiple-choice; neither reports a free-response effect size.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 free-response anchoring pilot reporting a standardized effect size.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[G2]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anchor effect's dependence on anchor plausibility is untested. </w:t>
            </w:r>
            <w:r>
              <w:rPr>
                <w:i/>
                <w:iCs/>
                <w:sz w:val="19"/>
                <w:szCs w:val="19"/>
              </w:rPr>
              <w:t xml:space="preserve">(→ claims.yml C5, status: gap)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corpus paper grades anchor plausibility; all use fixed anchors.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 graded-anchor pilot testing a monotonic dose-response.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[G3]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Cross-paper results are not comparable — each study uses its own benchmark.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S1, S3, and S5 each use a different task set and metric; no shared benchmark exists.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 shared public benchmark with a common severity metric.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[G4]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Multiple-choice → free-response generalization is unverified.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S3's prevalence numbers are all multiple-choice; open-ended behaviour is untested.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 free-response replication of a benchmark subset.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[G5]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Bias-mitigation efficacy has no head-to-head evaluation.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S1 (simple prompts fail) and S5 (self-audit works) are not comparable across their differing setups.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 controlled bake-off of mitigation methods on one benchmark.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[G6]</w:t>
            </w:r>
          </w:p>
        </w:tc>
        <w:tc>
          <w:tcPr>
            <w:tcW w:type="dxa" w:w="27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Persona / moderator effects rest on an opaque operationalization.</w:t>
            </w:r>
          </w:p>
        </w:tc>
        <w:tc>
          <w:tcPr>
            <w:tcW w:type="dxa" w:w="35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Only S4 conditions on persona, and its definition of "persona" is not specified.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 full-text read of S4 plus an independent persona-conditioning replication.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 Open questions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Unresolved questions the corpus cannot answer that affect how the gaps should be prioritized. Distinct from gaps: a gap is closable by a defined study; an open question may need a judgment call or more reading.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Q1:</w:t>
      </w:r>
      <w:r>
        <w:t xml:space="preserve"> Do S1's estimation tasks and S3's 600 benchmark items share any scenarios? If not, their apparent agreement on prevalence is two non-overlapping samples agreeing by construction.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Q2:</w:t>
      </w:r>
      <w:r>
        <w:t xml:space="preserve"> Should a pilot be powered for S3's full range (22–61%) or its high end? The choice changes the required sample size; a power analysis is outstanding.</w:t>
      </w:r>
    </w:p>
    <w:p>
      <w:pPr>
        <w:pStyle w:val="Heading2"/>
      </w:pPr>
      <w:r>
        <w:t xml:space="preserve">7. Recommended next step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The single highest-leverage study the gap analysis points to, stated concretely enough to start. One paragraph + a scope line.</w:t>
      </w:r>
    </w:p>
    <w:p>
      <w:pPr>
        <w:spacing w:after="80" w:before="80"/>
      </w:pPr>
      <w:r>
        <w:t xml:space="preserve">The gap analysis points most directly at </w:t>
      </w:r>
      <w:r>
        <w:rPr>
          <w:b/>
          <w:bCs/>
        </w:rPr>
        <w:t xml:space="preserve">[G1] + [G5]</w:t>
      </w:r>
      <w:r>
        <w:t xml:space="preserve">: run a free-response anchoring pilot that also serves as a mitigation bake-off. On a single pinned model snapshot, compare a control prompt, the simple Chain-of-Thought fix (S1's class), and the self-audit prompt (S5's method) on the same free-response task — for example, 200 prompts × 3 anchor levels per condition. Report a standardized effect size between anchor conditions for each mitigation, so the S1↔S5 disagreement is resolved on a common metric. Include an anchor-absent control to rule out training-data priors. Full design, confounders, and risk register: </w:t>
      </w:r>
      <w:r>
        <w:rPr>
          <w:rFonts w:ascii="Consolas" w:cs="Consolas" w:eastAsia="Consolas" w:hAnsi="Consolas"/>
          <w:sz w:val="19"/>
          <w:szCs w:val="19"/>
        </w:rPr>
        <w:t xml:space="preserve">.research/design_brief.md</w:t>
      </w:r>
      <w:r>
        <w:t xml:space="preserve">.</w:t>
      </w:r>
    </w:p>
    <w:p>
      <w:pPr>
        <w:spacing w:after="80" w:before="80"/>
      </w:pPr>
      <w:r>
        <w:rPr>
          <w:i/>
          <w:iCs/>
        </w:rPr>
        <w:t xml:space="preserve">Scope line:</w:t>
      </w:r>
      <w:r>
        <w:t xml:space="preserve"> 1-week prototype; one model snapshot; one task family; persona moderators ([G6]) and the shared-benchmark effort ([G3]) are out of scope for the prototype.</w:t>
      </w:r>
    </w:p>
    <w:p>
      <w:pPr>
        <w:pStyle w:val="Heading2"/>
      </w:pPr>
      <w:r>
        <w:t xml:space="preserve">8. References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Full, resolvable references — arXiv ID / DOI + URL at minimum, ordered by ID. In a real deliverable these identifiers are real and resolve; the placeholder IDs below mark this as a synthetic example.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[S1]</w:t>
      </w:r>
      <w:r>
        <w:t xml:space="preserve"> Reyes, A., &amp; Okafor, N. (2024). </w:t>
      </w:r>
      <w:r>
        <w:rPr>
          <w:i/>
          <w:iCs/>
        </w:rPr>
        <w:t xml:space="preserve">Anchoring Effects in Instruction-Tuned Language Models.</w:t>
      </w:r>
      <w:r>
        <w:t xml:space="preserve"> arXiv:XXXX.XXXXX (synthetic).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[S2]</w:t>
      </w:r>
      <w:r>
        <w:t xml:space="preserve"> Lindqvist, M., Park, J., &amp; Mensah, K. (2024). </w:t>
      </w:r>
      <w:r>
        <w:rPr>
          <w:i/>
          <w:iCs/>
        </w:rPr>
        <w:t xml:space="preserve">Cognitive Bias Risk in LLM Decision Support: A Position Paper.</w:t>
      </w:r>
      <w:r>
        <w:t xml:space="preserve"> arXiv:XXXX.XXXXX (synthetic).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[S3]</w:t>
      </w:r>
      <w:r>
        <w:t xml:space="preserve"> Banerjee, R., Cho, S., &amp; Whitfield, T. (2025). </w:t>
      </w:r>
      <w:r>
        <w:rPr>
          <w:i/>
          <w:iCs/>
        </w:rPr>
        <w:t xml:space="preserve">BiasGrid: A 40-Model Benchmark of Cognitive Bias Prevalence.</w:t>
      </w:r>
      <w:r>
        <w:t xml:space="preserve"> arXiv:XXXX.XXXXX (synthetic).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[S4]</w:t>
      </w:r>
      <w:r>
        <w:t xml:space="preserve"> Sato, Y., &amp; Pellegrini, L. (2025). </w:t>
      </w:r>
      <w:r>
        <w:rPr>
          <w:i/>
          <w:iCs/>
        </w:rPr>
        <w:t xml:space="preserve">Persona Conditioning and Bias Susceptibility in LLMs.</w:t>
      </w:r>
      <w:r>
        <w:t xml:space="preserve"> arXiv:XXXX.XXXXX (synthetic).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[S5]</w:t>
      </w:r>
      <w:r>
        <w:t xml:space="preserve"> Achebe, C., Romano, D., &amp; Idris, F. (2024). </w:t>
      </w:r>
      <w:r>
        <w:rPr>
          <w:i/>
          <w:iCs/>
        </w:rPr>
        <w:t xml:space="preserve">Self-Audit Prompting Reduces Anchoring in Generative Models.</w:t>
      </w:r>
      <w:r>
        <w:t xml:space="preserve"> arXiv:XXXX.XXXXX (synthetic).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[S6]</w:t>
      </w:r>
      <w:r>
        <w:t xml:space="preserve"> Voss, E., &amp; Hartman, G. (2025). </w:t>
      </w:r>
      <w:r>
        <w:rPr>
          <w:i/>
          <w:iCs/>
        </w:rPr>
        <w:t xml:space="preserve">Cognitive Bias as an Adversarial Surface in LLM Recommenders.</w:t>
      </w:r>
      <w:r>
        <w:t xml:space="preserve"> arXiv:XXXX.XXXXX (synthetic).</w:t>
      </w:r>
    </w:p>
    <w:p>
      <w:pPr>
        <w:pStyle w:val="Heading2"/>
      </w:pPr>
      <w:r>
        <w:t xml:space="preserve">9. Provenance &amp; limitations</w:t>
      </w:r>
    </w:p>
    <w:p>
      <w:pPr>
        <w:pBdr>
          <w:left w:val="single" w:color="B0B0B0" w:sz="12" w:space="12"/>
        </w:pBdr>
        <w:spacing w:after="120" w:before="60"/>
        <w:ind w:left="360"/>
      </w:pPr>
      <w:r>
        <w:rPr>
          <w:i/>
          <w:iCs/>
          <w:color w:val="5A5A5A"/>
          <w:sz w:val="19"/>
          <w:szCs w:val="19"/>
        </w:rPr>
        <w:t xml:space="preserve">How this deliverable was produced + honest caveats. A literature-review deliverable without this section is not trustworthy — every reader needs to know the evidence grade before acting on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This is a synthetic example.</w:t>
      </w:r>
      <w:r>
        <w:t xml:space="preserve"> All six papers, their authors, their identifiers, and every number are fabricated to illustrate the </w:t>
      </w:r>
      <w:r>
        <w:rPr>
          <w:i/>
          <w:iCs/>
        </w:rPr>
        <w:t xml:space="preserve">structure</w:t>
      </w:r>
      <w:r>
        <w:t xml:space="preserve"> of a research-hub literature-review deliverable. None refer to a real publication. A real run produces this same shape with real, resolvable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Produced by:</w:t>
      </w:r>
      <w:r>
        <w:t xml:space="preserve"> the research-hub skill pipeline — </w:t>
      </w:r>
      <w:r>
        <w:rPr>
          <w:rFonts w:ascii="Consolas" w:cs="Consolas" w:eastAsia="Consolas" w:hAnsi="Consolas"/>
          <w:sz w:val="19"/>
          <w:szCs w:val="19"/>
        </w:rPr>
        <w:t xml:space="preserve">search</w:t>
      </w:r>
      <w:r>
        <w:t xml:space="preserve"> (corpus discovery) → </w:t>
      </w:r>
      <w:r>
        <w:rPr>
          <w:rFonts w:ascii="Consolas" w:cs="Consolas" w:eastAsia="Consolas" w:hAnsi="Consolas"/>
          <w:sz w:val="19"/>
          <w:szCs w:val="19"/>
        </w:rPr>
        <w:t xml:space="preserve">literature-triage-matrix</w:t>
      </w:r>
      <w:r>
        <w:t xml:space="preserve"> (§2–§4) → </w:t>
      </w:r>
      <w:r>
        <w:rPr>
          <w:rFonts w:ascii="Consolas" w:cs="Consolas" w:eastAsia="Consolas" w:hAnsi="Consolas"/>
          <w:sz w:val="19"/>
          <w:szCs w:val="19"/>
        </w:rPr>
        <w:t xml:space="preserve">research-design-helper</w:t>
      </w:r>
      <w:r>
        <w:t xml:space="preserve"> (§5–§7) → </w:t>
      </w:r>
      <w:r>
        <w:rPr>
          <w:rFonts w:ascii="Consolas" w:cs="Consolas" w:eastAsia="Consolas" w:hAnsi="Consolas"/>
          <w:sz w:val="19"/>
          <w:szCs w:val="19"/>
        </w:rPr>
        <w:t xml:space="preserve">paper-memory-builder</w:t>
      </w:r>
      <w:r>
        <w:t xml:space="preserve"> (the </w:t>
      </w:r>
      <w:r>
        <w:rPr>
          <w:rFonts w:ascii="Consolas" w:cs="Consolas" w:eastAsia="Consolas" w:hAnsi="Consolas"/>
          <w:sz w:val="19"/>
          <w:szCs w:val="19"/>
        </w:rPr>
        <w:t xml:space="preserve">.paper/claims.yml</w:t>
      </w:r>
      <w:r>
        <w:t xml:space="preserve"> linkage). Raw search output is archived alongside a real deliverable.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Companion files (machine-readable):</w:t>
      </w:r>
      <w:r>
        <w:t xml:space="preserve"> every deliverable ships with </w:t>
      </w:r>
      <w:r>
        <w:rPr>
          <w:rFonts w:ascii="Consolas" w:cs="Consolas" w:eastAsia="Consolas" w:hAnsi="Consolas"/>
          <w:sz w:val="19"/>
          <w:szCs w:val="19"/>
        </w:rPr>
        <w:t xml:space="preserve">&lt;name&gt;.bib</w:t>
      </w:r>
      <w:r>
        <w:t xml:space="preserve"> — a BibTeX export of §8 References — and </w:t>
      </w:r>
      <w:r>
        <w:rPr>
          <w:rFonts w:ascii="Consolas" w:cs="Consolas" w:eastAsia="Consolas" w:hAnsi="Consolas"/>
          <w:sz w:val="19"/>
          <w:szCs w:val="19"/>
        </w:rPr>
        <w:t xml:space="preserve">&lt;name&gt;.gaps.yml</w:t>
      </w:r>
      <w:r>
        <w:t xml:space="preserve"> — a structured export of §5 research gaps + §6 open questions (each gap carries </w:t>
      </w:r>
      <w:r>
        <w:rPr>
          <w:rFonts w:ascii="Consolas" w:cs="Consolas" w:eastAsia="Consolas" w:hAnsi="Consolas"/>
          <w:sz w:val="19"/>
          <w:szCs w:val="19"/>
        </w:rPr>
        <w:t xml:space="preserve">statement / evidence / closes_via / linked_claim / status</w:t>
      </w:r>
      <w:r>
        <w:t xml:space="preserve">). For this example: </w:t>
      </w:r>
      <w:r>
        <w:rPr>
          <w:rFonts w:ascii="Consolas" w:cs="Consolas" w:eastAsia="Consolas" w:hAnsi="Consolas"/>
          <w:sz w:val="19"/>
          <w:szCs w:val="19"/>
        </w:rPr>
        <w:t xml:space="preserve">example-literature-review-deliverable.bib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example-literature-review-deliverable.gaps.yml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Corpus limitation:</w:t>
      </w:r>
      <w:r>
        <w:t xml:space="preserve"> in a real run the corpus is read </w:t>
      </w:r>
      <w:r>
        <w:rPr>
          <w:b/>
          <w:bCs/>
        </w:rPr>
        <w:t xml:space="preserve">abstract-only</w:t>
      </w:r>
      <w:r>
        <w:t xml:space="preserve"> unless full-text is fetched; quantified findings are transcribed from abstracts, and "not specified in abstract" is used wherever the abstract is silent.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 a systematic review:</w:t>
      </w:r>
      <w:r>
        <w:t xml:space="preserve"> this is a screening-grade triage, not a reproducible database query with formal inclusion/exclusion criteria. Recall is unknown — relevant work may be missing.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Claim-status linkage:</w:t>
      </w:r>
      <w:r>
        <w:t xml:space="preserve"> claims in </w:t>
      </w:r>
      <w:r>
        <w:rPr>
          <w:rFonts w:ascii="Consolas" w:cs="Consolas" w:eastAsia="Consolas" w:hAnsi="Consolas"/>
          <w:sz w:val="19"/>
          <w:szCs w:val="19"/>
        </w:rPr>
        <w:t xml:space="preserve">.paper/claims.yml</w:t>
      </w:r>
      <w:r>
        <w:t xml:space="preserve"> carry a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 field; </w:t>
      </w:r>
      <w:r>
        <w:rPr>
          <w:rFonts w:ascii="Consolas" w:cs="Consolas" w:eastAsia="Consolas" w:hAnsi="Consolas"/>
          <w:sz w:val="19"/>
          <w:szCs w:val="19"/>
        </w:rPr>
        <w:t xml:space="preserve">status: gap</w:t>
      </w:r>
      <w:r>
        <w:t xml:space="preserve"> claims (here C5 and C6) have empty </w:t>
      </w:r>
      <w:r>
        <w:rPr>
          <w:rFonts w:ascii="Consolas" w:cs="Consolas" w:eastAsia="Consolas" w:hAnsi="Consolas"/>
          <w:sz w:val="19"/>
          <w:szCs w:val="19"/>
        </w:rPr>
        <w:t xml:space="preserve">evidence_artifacts</w:t>
      </w:r>
      <w:r>
        <w:t xml:space="preserve"> and map to research gaps ([G2] and [G1] respectively).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To upgrade a real deliverable:</w:t>
      </w:r>
      <w:r>
        <w:t xml:space="preserve"> re-run </w:t>
      </w:r>
      <w:r>
        <w:rPr>
          <w:rFonts w:ascii="Consolas" w:cs="Consolas" w:eastAsia="Consolas" w:hAnsi="Consolas"/>
          <w:sz w:val="19"/>
          <w:szCs w:val="19"/>
        </w:rPr>
        <w:t xml:space="preserve">search</w:t>
      </w:r>
      <w:r>
        <w:t xml:space="preserve"> with varied query phrasings and merge; read the high-relevance papers in full; run the power analysis flagged in Q2.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B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3B5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2026-05-21T20:54:30.721Z</dcterms:created>
  <dcterms:modified xsi:type="dcterms:W3CDTF">2026-05-21T20:54:30.722Z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