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Example — Literature Review Deliverable</w:t>
      </w:r>
    </w:p>
    <w:p>
      <w:pPr>
        <w:pBdr>
          <w:left w:val="single" w:color="B0B0B0" w:sz="12" w:space="12"/>
        </w:pBdr>
        <w:spacing w:after="120" w:before="60"/>
        <w:ind w:left="360"/>
      </w:pPr>
      <w:r>
        <w:rPr>
          <w:b/>
          <w:bCs/>
          <w:i/>
          <w:iCs/>
          <w:color w:val="5A5A5A"/>
          <w:sz w:val="19"/>
          <w:szCs w:val="19"/>
        </w:rPr>
        <w:t xml:space="preserve">SYNTHETIC EXAMPLE.</w:t>
      </w:r>
      <w:r>
        <w:rPr>
          <w:i/>
          <w:iCs/>
          <w:color w:val="5A5A5A"/>
          <w:sz w:val="19"/>
          <w:szCs w:val="19"/>
        </w:rPr>
        <w:t xml:space="preserve"> Every paper, author, identifier, and number below is </w:t>
      </w:r>
      <w:r>
        <w:rPr>
          <w:b/>
          <w:bCs/>
          <w:i/>
          <w:iCs/>
          <w:color w:val="5A5A5A"/>
          <w:sz w:val="19"/>
          <w:szCs w:val="19"/>
        </w:rPr>
        <w:t xml:space="preserve">fabricated</w:t>
      </w:r>
      <w:r>
        <w:rPr>
          <w:i/>
          <w:iCs/>
          <w:color w:val="5A5A5A"/>
          <w:sz w:val="19"/>
          <w:szCs w:val="19"/>
        </w:rPr>
        <w:t xml:space="preserve"> to illustrate the </w:t>
      </w:r>
      <w:r>
        <w:rPr>
          <w:i/>
          <w:iCs/>
          <w:color w:val="5A5A5A"/>
          <w:sz w:val="19"/>
          <w:szCs w:val="19"/>
        </w:rPr>
        <w:t xml:space="preserve">shape</w:t>
      </w:r>
      <w:r>
        <w:rPr>
          <w:i/>
          <w:iCs/>
          <w:color w:val="5A5A5A"/>
          <w:sz w:val="19"/>
          <w:szCs w:val="19"/>
        </w:rPr>
        <w:t xml:space="preserve"> of a research-hub literature-review deliverable. Nothing here refers to a real publication. In a real run, all citations are real and resolvable. — No real maintainer artifacts (per the catalog's [</w:t>
      </w:r>
      <w:r>
        <w:rPr>
          <w:rFonts w:ascii="Consolas" w:cs="Consolas" w:eastAsia="Consolas" w:hAnsi="Consolas"/>
          <w:i/>
          <w:iCs/>
          <w:color w:val="5A5A5A"/>
          <w:sz w:val="19"/>
          <w:szCs w:val="19"/>
        </w:rPr>
        <w:t xml:space="preserve">## Limitations</w:t>
      </w:r>
      <w:r>
        <w:rPr>
          <w:i/>
          <w:iCs/>
          <w:color w:val="5A5A5A"/>
          <w:sz w:val="19"/>
          <w:szCs w:val="19"/>
        </w:rPr>
        <w:t xml:space="preserve">](../README.md) policy). Languages: [English](example-literature-review-deliverable.md) | [繁中](example-literature-review-deliverable.zh-TW.md)</w:t>
      </w:r>
    </w:p>
    <w:p>
      <w:pPr>
        <w:spacing w:after="80" w:before="80"/>
      </w:pPr>
      <w:r>
        <w:t xml:space="preserve">This is the consolidated end-to-end output of the research-hub literature pipeline (</w:t>
      </w:r>
      <w:r>
        <w:rPr>
          <w:rFonts w:ascii="Consolas" w:cs="Consolas" w:eastAsia="Consolas" w:hAnsi="Consolas"/>
          <w:sz w:val="19"/>
          <w:szCs w:val="19"/>
        </w:rPr>
        <w:t xml:space="preserve">search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literature-triage-matrix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research-design-helper</w:t>
      </w:r>
      <w:r>
        <w:t xml:space="preserve">) — the single document those skills add up to.</w:t>
      </w:r>
    </w:p>
    <w:p>
      <w:pPr>
        <w:pBdr>
          <w:left w:val="single" w:color="B0B0B0" w:sz="12" w:space="12"/>
        </w:pBdr>
        <w:spacing w:after="120" w:before="60"/>
        <w:ind w:left="360"/>
      </w:pPr>
      <w:r>
        <w:rPr>
          <w:b/>
          <w:bCs/>
          <w:i/>
          <w:iCs/>
          <w:color w:val="5A5A5A"/>
          <w:sz w:val="19"/>
          <w:szCs w:val="19"/>
        </w:rPr>
        <w:t xml:space="preserve">Template note:</w:t>
      </w:r>
      <w:r>
        <w:rPr>
          <w:i/>
          <w:iCs/>
          <w:color w:val="5A5A5A"/>
          <w:sz w:val="19"/>
          <w:szCs w:val="19"/>
        </w:rPr>
        <w:t xml:space="preserve"> this file is BOTH a worked example AND the reusable section contract. Each </w:t>
      </w:r>
      <w:r>
        <w:rPr>
          <w:rFonts w:ascii="Consolas" w:cs="Consolas" w:eastAsia="Consolas" w:hAnsi="Consolas"/>
          <w:i/>
          <w:iCs/>
          <w:color w:val="5A5A5A"/>
          <w:sz w:val="19"/>
          <w:szCs w:val="19"/>
        </w:rPr>
        <w:t xml:space="preserve">&gt;</w:t>
      </w:r>
      <w:r>
        <w:rPr>
          <w:i/>
          <w:iCs/>
          <w:color w:val="5A5A5A"/>
          <w:sz w:val="19"/>
          <w:szCs w:val="19"/>
        </w:rPr>
        <w:t xml:space="preserve"> italic note states what the section must contain. To reuse: keep the section structure and the italic contracts, replace the synthetic content with your own corpus.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---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---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Topic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Do LLMs reproduce human-style cognitive biases on classic cognitive-science paradigms?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Scope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Anchoring / framing / persona effects; model scale, prompt detail, and applied-domain risk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Corpus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6 papers — abstracts only, not full-text (synthetic)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Compiled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2026-01-15 (synthetic date)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Pipeline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research-hub: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search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literature-triage-matrix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research-design-helper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Evidence grade</w:t>
            </w:r>
          </w:p>
        </w:tc>
        <w:tc>
          <w:tcPr>
            <w:tcW w:type="dxa" w:w="6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Screening-grade triage — </w:t>
            </w:r>
            <w:r>
              <w:rPr>
                <w:b/>
                <w:bCs/>
                <w:sz w:val="19"/>
                <w:szCs w:val="19"/>
              </w:rPr>
              <w:t xml:space="preserve">NOT a systematic review</w:t>
            </w:r>
          </w:p>
        </w:tc>
      </w:tr>
    </w:tbl>
    <w:p>
      <w:pPr>
        <w:spacing w:after="80"/>
      </w:pPr>
    </w:p>
    <w:p>
      <w:pPr>
        <w:pStyle w:val="Heading2"/>
        <w:pageBreakBefore/>
      </w:pPr>
      <w: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2"/>
      </w:pPr>
      <w:r>
        <w:t xml:space="preserve">1. TL;DR</w:t>
      </w:r>
    </w:p>
    <w:p>
      <w:pPr>
        <w:pBdr>
          <w:left w:val="single" w:color="B0B0B0" w:sz="12" w:space="12"/>
        </w:pBdr>
        <w:spacing w:after="120" w:before="60"/>
        <w:ind w:left="360"/>
      </w:pPr>
      <w:r>
        <w:rPr>
          <w:i/>
          <w:iCs/>
          <w:color w:val="5A5A5A"/>
          <w:sz w:val="19"/>
          <w:szCs w:val="19"/>
        </w:rPr>
        <w:t xml:space="preserve">3–6 bullets: the headline findings, the main disagreement, the sharpest gap. A reader who stops here should still know what to do next.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Cognitive biases appear broadly in current LLMs.</w:t>
      </w:r>
      <w:r>
        <w:t xml:space="preserve"> A 40-model benchmark (Banerjee et al. 2025) reports bias-consistent responses in 22–61% of items across 12 bias categories; anchoring specifically is confirmed independently (Reyes &amp; Okafor 2024).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Mitigation is the central disagreement.</w:t>
      </w:r>
      <w:r>
        <w:t xml:space="preserve"> Reyes &amp; Okafor (2024) find simple prompt-based fixes cut anchoring by only ~10%; Achebe et al. (2024) report a structured self-audit prompt removes most of the effect. The two use different tasks and metrics, so they cannot yet be ranked.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Biases reach applied settings</w:t>
      </w:r>
      <w:r>
        <w:t xml:space="preserve"> — Voss &amp; Hartman (2025) show cognitive biases can be exploited as a black-box manipulation surface in LLM recommenders.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Sharpest gap [G1]:</w:t>
      </w:r>
      <w:r>
        <w:t xml:space="preserve"> no study reports a standardized </w:t>
      </w:r>
      <w:r>
        <w:rPr>
          <w:i/>
          <w:iCs/>
        </w:rPr>
        <w:t xml:space="preserve">free-response</w:t>
      </w:r>
      <w:r>
        <w:t xml:space="preserve"> effect size for anchoring — the corpus speaks only in rates and percentages.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Corpus caveat:</w:t>
      </w:r>
      <w:r>
        <w:t xml:space="preserve"> 6 papers, abstracts only — a first-pass triage that scopes a study, not settled evidence.</w:t>
      </w:r>
    </w:p>
    <w:p>
      <w:pPr>
        <w:pStyle w:val="Heading2"/>
      </w:pPr>
      <w:r>
        <w:t xml:space="preserve">2. Literature inventory</w:t>
      </w:r>
    </w:p>
    <w:p>
      <w:pPr>
        <w:pBdr>
          <w:left w:val="single" w:color="B0B0B0" w:sz="12" w:space="12"/>
        </w:pBdr>
        <w:spacing w:after="120" w:before="60"/>
        <w:ind w:left="360"/>
      </w:pPr>
      <w:r>
        <w:rPr>
          <w:i/>
          <w:iCs/>
          <w:color w:val="5A5A5A"/>
          <w:sz w:val="19"/>
          <w:szCs w:val="19"/>
        </w:rPr>
        <w:t xml:space="preserve">One row per source. Minimum columns: ID, citation, year, evidence type (empirical / conceptual), relevance grade with a one-line reason.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960"/>
        <w:gridCol w:w="560"/>
        <w:gridCol w:w="1480"/>
        <w:gridCol w:w="2800"/>
      </w:tblGrid>
      <w:tr>
        <w:trPr>
          <w:tblHeader/>
        </w:trPr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Citation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Year</w:t>
            </w:r>
          </w:p>
        </w:tc>
        <w:tc>
          <w:tcPr>
            <w:tcW w:type="dxa" w:w="14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Relevance</w:t>
            </w:r>
          </w:p>
        </w:tc>
      </w:tr>
      <w:tr>
        <w:trPr>
          <w:tblHeader w:val="false"/>
        </w:trPr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---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---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---</w:t>
            </w:r>
          </w:p>
        </w:tc>
        <w:tc>
          <w:tcPr>
            <w:tcW w:type="dxa" w:w="14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---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---</w:t>
            </w:r>
          </w:p>
        </w:tc>
      </w:tr>
      <w:tr>
        <w:trPr>
          <w:tblHeader w:val="false"/>
        </w:trPr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S1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Reyes &amp; Okafor — </w:t>
            </w:r>
            <w:r>
              <w:rPr>
                <w:i/>
                <w:iCs/>
                <w:sz w:val="19"/>
                <w:szCs w:val="19"/>
              </w:rPr>
              <w:t xml:space="preserve">Anchoring Effects in Instruction-Tuned Language Models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2024</w:t>
            </w:r>
          </w:p>
        </w:tc>
        <w:tc>
          <w:tcPr>
            <w:tcW w:type="dxa" w:w="14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Empirical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High</w:t>
            </w:r>
            <w:r>
              <w:rPr>
                <w:sz w:val="19"/>
                <w:szCs w:val="19"/>
              </w:rPr>
              <w:t xml:space="preserve"> — direct anchoring evidence + negative result on simple mitigation</w:t>
            </w:r>
          </w:p>
        </w:tc>
      </w:tr>
      <w:tr>
        <w:trPr>
          <w:tblHeader w:val="false"/>
        </w:trPr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S2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Lindqvist et al. — </w:t>
            </w:r>
            <w:r>
              <w:rPr>
                <w:i/>
                <w:iCs/>
                <w:sz w:val="19"/>
                <w:szCs w:val="19"/>
              </w:rPr>
              <w:t xml:space="preserve">Cognitive Bias Risk in LLM Decision Support: A Position Paper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2024</w:t>
            </w:r>
          </w:p>
        </w:tc>
        <w:tc>
          <w:tcPr>
            <w:tcW w:type="dxa" w:w="14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Conceptual / position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Medium</w:t>
            </w:r>
            <w:r>
              <w:rPr>
                <w:sz w:val="19"/>
                <w:szCs w:val="19"/>
              </w:rPr>
              <w:t xml:space="preserve"> — risk framing; not an empirical anchor</w:t>
            </w:r>
          </w:p>
        </w:tc>
      </w:tr>
      <w:tr>
        <w:trPr>
          <w:tblHeader w:val="false"/>
        </w:trPr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S3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Banerjee et al. — </w:t>
            </w:r>
            <w:r>
              <w:rPr>
                <w:i/>
                <w:iCs/>
                <w:sz w:val="19"/>
                <w:szCs w:val="19"/>
              </w:rPr>
              <w:t xml:space="preserve">BiasGrid: A 40-Model Benchmark of Cognitive Bias Prevalence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2025</w:t>
            </w:r>
          </w:p>
        </w:tc>
        <w:tc>
          <w:tcPr>
            <w:tcW w:type="dxa" w:w="14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Empirical + benchmark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High</w:t>
            </w:r>
            <w:r>
              <w:rPr>
                <w:sz w:val="19"/>
                <w:szCs w:val="19"/>
              </w:rPr>
              <w:t xml:space="preserve"> — broadest controlled evaluation in the corpus</w:t>
            </w:r>
          </w:p>
        </w:tc>
      </w:tr>
      <w:tr>
        <w:trPr>
          <w:tblHeader w:val="false"/>
        </w:trPr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S4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Sato &amp; Pellegrini — </w:t>
            </w:r>
            <w:r>
              <w:rPr>
                <w:i/>
                <w:iCs/>
                <w:sz w:val="19"/>
                <w:szCs w:val="19"/>
              </w:rPr>
              <w:t xml:space="preserve">Persona Conditioning and Bias Susceptibility in LLMs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2025</w:t>
            </w:r>
          </w:p>
        </w:tc>
        <w:tc>
          <w:tcPr>
            <w:tcW w:type="dxa" w:w="14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Empirical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Medium</w:t>
            </w:r>
            <w:r>
              <w:rPr>
                <w:sz w:val="19"/>
                <w:szCs w:val="19"/>
              </w:rPr>
              <w:t xml:space="preserve"> — adds a persona-moderator angle</w:t>
            </w:r>
          </w:p>
        </w:tc>
      </w:tr>
      <w:tr>
        <w:trPr>
          <w:tblHeader w:val="false"/>
        </w:trPr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S5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Achebe et al. — </w:t>
            </w:r>
            <w:r>
              <w:rPr>
                <w:i/>
                <w:iCs/>
                <w:sz w:val="19"/>
                <w:szCs w:val="19"/>
              </w:rPr>
              <w:t xml:space="preserve">Self-Audit Prompting Reduces Anchoring in Generative Models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2024</w:t>
            </w:r>
          </w:p>
        </w:tc>
        <w:tc>
          <w:tcPr>
            <w:tcW w:type="dxa" w:w="14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Empirical + framework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High</w:t>
            </w:r>
            <w:r>
              <w:rPr>
                <w:sz w:val="19"/>
                <w:szCs w:val="19"/>
              </w:rPr>
              <w:t xml:space="preserve"> — proposes a mitigation that works where simple prompts fail</w:t>
            </w:r>
          </w:p>
        </w:tc>
      </w:tr>
      <w:tr>
        <w:trPr>
          <w:tblHeader w:val="false"/>
        </w:trPr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S6</w:t>
            </w:r>
          </w:p>
        </w:tc>
        <w:tc>
          <w:tcPr>
            <w:tcW w:type="dxa" w:w="39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Voss &amp; Hartman — </w:t>
            </w:r>
            <w:r>
              <w:rPr>
                <w:i/>
                <w:iCs/>
                <w:sz w:val="19"/>
                <w:szCs w:val="19"/>
              </w:rPr>
              <w:t xml:space="preserve">Cognitive Bias as an Adversarial Surface in LLM Recommenders</w:t>
            </w:r>
          </w:p>
        </w:tc>
        <w:tc>
          <w:tcPr>
            <w:tcW w:type="dxa" w:w="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2025</w:t>
            </w:r>
          </w:p>
        </w:tc>
        <w:tc>
          <w:tcPr>
            <w:tcW w:type="dxa" w:w="14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Empirical (applied)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Medium-High</w:t>
            </w:r>
            <w:r>
              <w:rPr>
                <w:sz w:val="19"/>
                <w:szCs w:val="19"/>
              </w:rPr>
              <w:t xml:space="preserve"> — biases as a manipulation vector in a deployed setting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3. Per-paper summary</w:t>
      </w:r>
    </w:p>
    <w:p>
      <w:pPr>
        <w:pBdr>
          <w:left w:val="single" w:color="B0B0B0" w:sz="12" w:space="12"/>
        </w:pBdr>
        <w:spacing w:after="120" w:before="60"/>
        <w:ind w:left="360"/>
      </w:pPr>
      <w:r>
        <w:rPr>
          <w:i/>
          <w:iCs/>
          <w:color w:val="5A5A5A"/>
          <w:sz w:val="19"/>
          <w:szCs w:val="19"/>
        </w:rPr>
        <w:t xml:space="preserve">For each source: research question · method · sample · key findings (quantified ONLY where the source quantifies) · author-acknowledged limitation · how to use it. Never invent numbers the abstract does not give — write "not specified in abstract" instead.</w:t>
      </w:r>
    </w:p>
    <w:p>
      <w:pPr>
        <w:pStyle w:val="Heading3"/>
      </w:pPr>
      <w:r>
        <w:t xml:space="preserve">S1 — Reyes &amp; Okafor 2024 — Anchoring Effects in Instruction-Tuned Language Models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Question / method:</w:t>
      </w:r>
      <w:r>
        <w:t xml:space="preserve"> Does anchoring appear in instruction-tuned LLMs, and do prompt-based fixes remove it? Numeric-estimation tasks with seeded anchors; four prompt-based mitigation strategies compared.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Sample:</w:t>
      </w:r>
      <w:r>
        <w:t xml:space="preserve"> 8 instruction-tuned models; 1,800 estimation prompts.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Findings:</w:t>
      </w:r>
      <w:r>
        <w:t xml:space="preserve"> Anchoring is robust; the four prompt-based mitigations reduce the effect by only ~10% on average.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Limitation:</w:t>
      </w:r>
      <w:r>
        <w:t xml:space="preserve"> Numeric-estimation tasks only; no free-response generation.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Use as:</w:t>
      </w:r>
      <w:r>
        <w:t xml:space="preserve"> §"anchoring-specific evidence"; cite for "simple debiasing fails".</w:t>
      </w:r>
    </w:p>
    <w:p>
      <w:pPr>
        <w:pStyle w:val="Heading3"/>
      </w:pPr>
      <w:r>
        <w:t xml:space="preserve">S2 — Lindqvist et al. 2024 — Cognitive Bias Risk in LLM Decision Support: A Position Paper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Question / method:</w:t>
      </w:r>
      <w:r>
        <w:t xml:space="preserve"> What cognitive-bias risks face LLM decision-support deployments? Conceptual synthesis; no measurement.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Sample:</w:t>
      </w:r>
      <w:r>
        <w:t xml:space="preserve"> None.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Findings:</w:t>
      </w:r>
      <w:r>
        <w:t xml:space="preserve"> Identifies five bias families as deployment risks; proposes a mitigation research agenda.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Limitation:</w:t>
      </w:r>
      <w:r>
        <w:t xml:space="preserve"> No empirical evaluation — agenda-setting, not evidence.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Use as:</w:t>
      </w:r>
      <w:r>
        <w:t xml:space="preserve"> Introduction §"why this matters"; motivation only.</w:t>
      </w:r>
    </w:p>
    <w:p>
      <w:pPr>
        <w:pStyle w:val="Heading3"/>
      </w:pPr>
      <w:r>
        <w:t xml:space="preserve">S3 — Banerjee et al. 2025 — BiasGrid: A 40-Model Benchmark of Cognitive Bias Prevalence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Question / method:</w:t>
      </w:r>
      <w:r>
        <w:t xml:space="preserve"> How prevalent are cognitive biases across many LLMs, and how does model size affect them? Multiple-choice benchmark; 12 bias categories; controlled prompt variation.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Sample:</w:t>
      </w:r>
      <w:r>
        <w:t xml:space="preserve"> 40 models × 600 items = 24,000 evaluations.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Findings:</w:t>
      </w:r>
      <w:r>
        <w:t xml:space="preserve"> Bias-consistent responses in 22–61% of items across the 12 categories; models &gt;70B reduce bias in roughly one-third of cases; detailed prompts help most biases but worsen confirmation framing.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Limitation:</w:t>
      </w:r>
      <w:r>
        <w:t xml:space="preserve"> Multiple-choice format; free-response behaviour untested.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Use as:</w:t>
      </w:r>
      <w:r>
        <w:t xml:space="preserve"> Methods §"evaluation framework"; Results §"prevalence numbers".</w:t>
      </w:r>
    </w:p>
    <w:p>
      <w:pPr>
        <w:pStyle w:val="Heading3"/>
      </w:pPr>
      <w:r>
        <w:t xml:space="preserve">S4 — Sato &amp; Pellegrini 2025 — Persona Conditioning and Bias Susceptibility in LLMs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Question / method:</w:t>
      </w:r>
      <w:r>
        <w:t xml:space="preserve"> Do assigned personas change bias susceptibility? Persona-conditioned evaluation across model architectures.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Sample:</w:t>
      </w:r>
      <w:r>
        <w:t xml:space="preserve"> Not specified in abstract.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Findings:</w:t>
      </w:r>
      <w:r>
        <w:t xml:space="preserve"> Analytical personas lower bias susceptibility; "expert" personas raise overconfidence bias.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Limitation:</w:t>
      </w:r>
      <w:r>
        <w:t xml:space="preserve"> The operationalization of "persona" is opaque.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Use as:</w:t>
      </w:r>
      <w:r>
        <w:t xml:space="preserve"> Discussion §"moderators of bias"; counterpoint on variability.</w:t>
      </w:r>
    </w:p>
    <w:p>
      <w:pPr>
        <w:pStyle w:val="Heading3"/>
      </w:pPr>
      <w:r>
        <w:t xml:space="preserve">S5 — Achebe et al. 2024 — Self-Audit Prompting Reduces Anchoring in Generative Models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Question / method:</w:t>
      </w:r>
      <w:r>
        <w:t xml:space="preserve"> Can a structured self-audit prompt mitigate anchoring? Proposes a two-pass "self-audit" prompt; compares to baselines.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Sample:</w:t>
      </w:r>
      <w:r>
        <w:t xml:space="preserve"> Not specified in abstract.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Findings:</w:t>
      </w:r>
      <w:r>
        <w:t xml:space="preserve"> Self-audit prompting removes most of the anchoring effect on the tested task family — where simple Chain-of-Thought did not.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Limitation:</w:t>
      </w:r>
      <w:r>
        <w:t xml:space="preserve"> Tested on a single task family.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Use as:</w:t>
      </w:r>
      <w:r>
        <w:t xml:space="preserve"> Methods §"mitigation frameworks"; direct counterpoint to S1.</w:t>
      </w:r>
    </w:p>
    <w:p>
      <w:pPr>
        <w:pStyle w:val="Heading3"/>
      </w:pPr>
      <w:r>
        <w:t xml:space="preserve">S6 — Voss &amp; Hartman 2025 — Cognitive Bias as an Adversarial Surface in LLM Recommenders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Question / method:</w:t>
      </w:r>
      <w:r>
        <w:t xml:space="preserve"> Can cognitive biases be exploited to manipulate LLM recommenders? Black-box manipulation of item descriptions using bias principles.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Sample:</w:t>
      </w:r>
      <w:r>
        <w:t xml:space="preserve"> One recommender setup; multiple model scales.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Findings:</w:t>
      </w:r>
      <w:r>
        <w:t xml:space="preserve"> "Social proof" framing reliably boosts an item's recommendation rank; the manipulation is hard to detect.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Limitation:</w:t>
      </w:r>
      <w:r>
        <w:t xml:space="preserve"> One recommender setup; no mitigation evaluated.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Use as:</w:t>
      </w:r>
      <w:r>
        <w:t xml:space="preserve"> §"applied risk / biases as an attack surface".</w:t>
      </w:r>
    </w:p>
    <w:p>
      <w:pPr>
        <w:pStyle w:val="Heading2"/>
      </w:pPr>
      <w:r>
        <w:t xml:space="preserve">4. Cross-paper synthesis</w:t>
      </w:r>
    </w:p>
    <w:p>
      <w:pPr>
        <w:pBdr>
          <w:left w:val="single" w:color="B0B0B0" w:sz="12" w:space="12"/>
        </w:pBdr>
        <w:spacing w:after="120" w:before="60"/>
        <w:ind w:left="360"/>
      </w:pPr>
      <w:r>
        <w:rPr>
          <w:i/>
          <w:iCs/>
          <w:color w:val="5A5A5A"/>
          <w:sz w:val="19"/>
          <w:szCs w:val="19"/>
        </w:rPr>
        <w:t xml:space="preserve">What the corpus agrees on, where it disagrees (name the papers), and how to reconcile. Flag low-evidence sources explicitly. Do not smooth over a disagreement — surface it.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Convergence — biases are broadly present.</w:t>
      </w:r>
      <w:r>
        <w:t xml:space="preserve"> S1 and S3 independently confirm that cognitive biases (anchoring in particular) appear across many models. The </w:t>
      </w:r>
      <w:r>
        <w:rPr>
          <w:i/>
          <w:iCs/>
        </w:rPr>
        <w:t xml:space="preserve">existence</w:t>
      </w:r>
      <w:r>
        <w:t xml:space="preserve"> of the phenomenon is the corpus's most defensible claim.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Central disagreement — does mitigation work?</w:t>
      </w:r>
      <w:r>
        <w:t xml:space="preserve"> S1 reports simple prompt-based fixes cut anchoring by only ~10%; S5 reports a structured self-audit prompt removes most of it. They use different tasks and metrics, so the disagreement cannot be resolved from abstracts — it is itself a gap ([G5]).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Applied risk</w:t>
      </w:r>
      <w:r>
        <w:t xml:space="preserve"> is an emerging theme — S6 reframes cognitive bias as an exploitable manipulation surface, not only a fairness concern.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Moderators</w:t>
      </w:r>
      <w:r>
        <w:t xml:space="preserve"> — S4 adds that an assigned persona shifts susceptibility, which complicates any single "prevalence" number.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Low-evidence flag:</w:t>
      </w:r>
      <w:r>
        <w:t xml:space="preserve"> S2 is a position paper with no measurement — use it for motivation, never as an evidence anchor.</w:t>
      </w:r>
    </w:p>
    <w:p>
      <w:pPr>
        <w:pStyle w:val="Heading2"/>
      </w:pPr>
      <w:r>
        <w:t xml:space="preserve">5. Research gaps</w:t>
      </w:r>
    </w:p>
    <w:p>
      <w:pPr>
        <w:pBdr>
          <w:left w:val="single" w:color="B0B0B0" w:sz="12" w:space="12"/>
        </w:pBdr>
        <w:spacing w:after="120" w:before="60"/>
        <w:ind w:left="360"/>
      </w:pPr>
      <w:r>
        <w:rPr>
          <w:i/>
          <w:iCs/>
          <w:color w:val="5A5A5A"/>
          <w:sz w:val="19"/>
          <w:szCs w:val="19"/>
        </w:rPr>
        <w:t xml:space="preserve">Each gap = (a) a one-sentence statement, (b) the evidence that it IS a gap — which papers fail to cover it, (c) what would close it. Gaps tagged `[G-n]`. A gap that maps to a planned study carries the claim ID from `.paper/claims.yml`.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790"/>
        <w:gridCol w:w="3570"/>
        <w:gridCol w:w="2000"/>
      </w:tblGrid>
      <w:tr>
        <w:trPr>
          <w:tblHeader/>
        </w:trPr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Gap</w:t>
            </w:r>
          </w:p>
        </w:tc>
        <w:tc>
          <w:tcPr>
            <w:tcW w:type="dxa" w:w="279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Statement</w:t>
            </w:r>
          </w:p>
        </w:tc>
        <w:tc>
          <w:tcPr>
            <w:tcW w:type="dxa" w:w="35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Why it is a gap (evidence)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B5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would close it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---</w:t>
            </w:r>
          </w:p>
        </w:tc>
        <w:tc>
          <w:tcPr>
            <w:tcW w:type="dxa" w:w="279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---</w:t>
            </w:r>
          </w:p>
        </w:tc>
        <w:tc>
          <w:tcPr>
            <w:tcW w:type="dxa" w:w="35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---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---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[G1]</w:t>
            </w:r>
          </w:p>
        </w:tc>
        <w:tc>
          <w:tcPr>
            <w:tcW w:type="dxa" w:w="279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No standardized free-response effect size for LLM anchoring. </w:t>
            </w:r>
            <w:r>
              <w:rPr>
                <w:i/>
                <w:iCs/>
                <w:sz w:val="19"/>
                <w:szCs w:val="19"/>
              </w:rPr>
              <w:t xml:space="preserve">(→ claims.yml C6, status: gap)</w:t>
            </w:r>
          </w:p>
        </w:tc>
        <w:tc>
          <w:tcPr>
            <w:tcW w:type="dxa" w:w="35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S1 uses numeric-estimation tasks; S3 uses multiple-choice; neither reports a free-response effect size.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A free-response anchoring pilot reporting a standardized effect size.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[G2]</w:t>
            </w:r>
          </w:p>
        </w:tc>
        <w:tc>
          <w:tcPr>
            <w:tcW w:type="dxa" w:w="279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The anchor effect's dependence on anchor plausibility is untested. </w:t>
            </w:r>
            <w:r>
              <w:rPr>
                <w:i/>
                <w:iCs/>
                <w:sz w:val="19"/>
                <w:szCs w:val="19"/>
              </w:rPr>
              <w:t xml:space="preserve">(→ claims.yml C5, status: gap)</w:t>
            </w:r>
          </w:p>
        </w:tc>
        <w:tc>
          <w:tcPr>
            <w:tcW w:type="dxa" w:w="35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No corpus paper grades anchor plausibility; all use fixed anchors.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A graded-anchor pilot testing a monotonic dose-response.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[G3]</w:t>
            </w:r>
          </w:p>
        </w:tc>
        <w:tc>
          <w:tcPr>
            <w:tcW w:type="dxa" w:w="279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Cross-paper results are not comparable — each study uses its own benchmark.</w:t>
            </w:r>
          </w:p>
        </w:tc>
        <w:tc>
          <w:tcPr>
            <w:tcW w:type="dxa" w:w="35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S1, S3, and S5 each use a different task set and metric; no shared benchmark exists.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A shared public benchmark with a common severity metric.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[G4]</w:t>
            </w:r>
          </w:p>
        </w:tc>
        <w:tc>
          <w:tcPr>
            <w:tcW w:type="dxa" w:w="279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Multiple-choice → free-response generalization is unverified.</w:t>
            </w:r>
          </w:p>
        </w:tc>
        <w:tc>
          <w:tcPr>
            <w:tcW w:type="dxa" w:w="35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S3's prevalence numbers are all multiple-choice; open-ended behaviour is untested.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A free-response replication of a benchmark subset.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[G5]</w:t>
            </w:r>
          </w:p>
        </w:tc>
        <w:tc>
          <w:tcPr>
            <w:tcW w:type="dxa" w:w="279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Bias-mitigation efficacy has no head-to-head evaluation.</w:t>
            </w:r>
          </w:p>
        </w:tc>
        <w:tc>
          <w:tcPr>
            <w:tcW w:type="dxa" w:w="35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S1 (simple prompts fail) and S5 (self-audit works) are not comparable across their differing setups.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A controlled bake-off of mitigation methods on one benchmark.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sz w:val="19"/>
                <w:szCs w:val="19"/>
              </w:rPr>
              <w:t xml:space="preserve">[G6]</w:t>
            </w:r>
          </w:p>
        </w:tc>
        <w:tc>
          <w:tcPr>
            <w:tcW w:type="dxa" w:w="279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Persona / moderator effects rest on an opaque operationalization.</w:t>
            </w:r>
          </w:p>
        </w:tc>
        <w:tc>
          <w:tcPr>
            <w:tcW w:type="dxa" w:w="35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Only S4 conditions on persona, and its definition of "persona" is not specified.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before="20"/>
            </w:pPr>
            <w:r>
              <w:rPr>
                <w:sz w:val="19"/>
                <w:szCs w:val="19"/>
              </w:rPr>
              <w:t xml:space="preserve">A full-text read of S4 plus an independent persona-conditioning replication.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6. Open questions</w:t>
      </w:r>
    </w:p>
    <w:p>
      <w:pPr>
        <w:pBdr>
          <w:left w:val="single" w:color="B0B0B0" w:sz="12" w:space="12"/>
        </w:pBdr>
        <w:spacing w:after="120" w:before="60"/>
        <w:ind w:left="360"/>
      </w:pPr>
      <w:r>
        <w:rPr>
          <w:i/>
          <w:iCs/>
          <w:color w:val="5A5A5A"/>
          <w:sz w:val="19"/>
          <w:szCs w:val="19"/>
        </w:rPr>
        <w:t xml:space="preserve">Unresolved questions the corpus cannot answer that affect how the gaps should be prioritized. Distinct from gaps: a gap is closable by a defined study; an open question may need a judgment call or more reading.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Q1:</w:t>
      </w:r>
      <w:r>
        <w:t xml:space="preserve"> Do S1's estimation tasks and S3's 600 benchmark items share any scenarios? If not, their apparent agreement on prevalence is two non-overlapping samples agreeing by construction.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Q2:</w:t>
      </w:r>
      <w:r>
        <w:t xml:space="preserve"> Should a pilot be powered for S3's full range (22–61%) or its high end? The choice changes the required sample size; a power analysis is outstanding.</w:t>
      </w:r>
    </w:p>
    <w:p>
      <w:pPr>
        <w:pStyle w:val="Heading2"/>
      </w:pPr>
      <w:r>
        <w:t xml:space="preserve">7. Recommended next step</w:t>
      </w:r>
    </w:p>
    <w:p>
      <w:pPr>
        <w:pBdr>
          <w:left w:val="single" w:color="B0B0B0" w:sz="12" w:space="12"/>
        </w:pBdr>
        <w:spacing w:after="120" w:before="60"/>
        <w:ind w:left="360"/>
      </w:pPr>
      <w:r>
        <w:rPr>
          <w:i/>
          <w:iCs/>
          <w:color w:val="5A5A5A"/>
          <w:sz w:val="19"/>
          <w:szCs w:val="19"/>
        </w:rPr>
        <w:t xml:space="preserve">The single highest-leverage study the gap analysis points to, stated concretely enough to start. One paragraph + a scope line.</w:t>
      </w:r>
    </w:p>
    <w:p>
      <w:pPr>
        <w:spacing w:after="80" w:before="80"/>
      </w:pPr>
      <w:r>
        <w:t xml:space="preserve">The gap analysis points most directly at </w:t>
      </w:r>
      <w:r>
        <w:rPr>
          <w:b/>
          <w:bCs/>
        </w:rPr>
        <w:t xml:space="preserve">[G1] + [G5]</w:t>
      </w:r>
      <w:r>
        <w:t xml:space="preserve">: run a free-response anchoring pilot that also serves as a mitigation bake-off. On a single pinned model snapshot, compare a control prompt, the simple Chain-of-Thought fix (S1's class), and the self-audit prompt (S5's method) on the same free-response task — for example, 200 prompts × 3 anchor levels per condition. Report a standardized effect size between anchor conditions for each mitigation, so the S1↔S5 disagreement is resolved on a common metric. Include an anchor-absent control to rule out training-data priors. Full design, confounders, and risk register: </w:t>
      </w:r>
      <w:r>
        <w:rPr>
          <w:rFonts w:ascii="Consolas" w:cs="Consolas" w:eastAsia="Consolas" w:hAnsi="Consolas"/>
          <w:sz w:val="19"/>
          <w:szCs w:val="19"/>
        </w:rPr>
        <w:t xml:space="preserve">.research/design_brief.md</w:t>
      </w:r>
      <w:r>
        <w:t xml:space="preserve">.</w:t>
      </w:r>
    </w:p>
    <w:p>
      <w:pPr>
        <w:spacing w:after="80" w:before="80"/>
      </w:pPr>
      <w:r>
        <w:rPr>
          <w:i/>
          <w:iCs/>
        </w:rPr>
        <w:t xml:space="preserve">Scope line:</w:t>
      </w:r>
      <w:r>
        <w:t xml:space="preserve"> 1-week prototype; one model snapshot; one task family; persona moderators ([G6]) and the shared-benchmark effort ([G3]) are out of scope for the prototype.</w:t>
      </w:r>
    </w:p>
    <w:p>
      <w:pPr>
        <w:pStyle w:val="Heading2"/>
      </w:pPr>
      <w:r>
        <w:t xml:space="preserve">8. References</w:t>
      </w:r>
    </w:p>
    <w:p>
      <w:pPr>
        <w:pBdr>
          <w:left w:val="single" w:color="B0B0B0" w:sz="12" w:space="12"/>
        </w:pBdr>
        <w:spacing w:after="120" w:before="60"/>
        <w:ind w:left="360"/>
      </w:pPr>
      <w:r>
        <w:rPr>
          <w:i/>
          <w:iCs/>
          <w:color w:val="5A5A5A"/>
          <w:sz w:val="19"/>
          <w:szCs w:val="19"/>
        </w:rPr>
        <w:t xml:space="preserve">Full, resolvable references — arXiv ID / DOI + URL at minimum, ordered by ID. In a real deliverable these identifiers are real and resolve; the placeholder IDs below mark this as a synthetic example.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[S1]</w:t>
      </w:r>
      <w:r>
        <w:t xml:space="preserve"> Reyes, A., &amp; Okafor, N. (2024). </w:t>
      </w:r>
      <w:r>
        <w:rPr>
          <w:i/>
          <w:iCs/>
        </w:rPr>
        <w:t xml:space="preserve">Anchoring Effects in Instruction-Tuned Language Models.</w:t>
      </w:r>
      <w:r>
        <w:t xml:space="preserve"> arXiv:XXXX.XXXXX (synthetic).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[S2]</w:t>
      </w:r>
      <w:r>
        <w:t xml:space="preserve"> Lindqvist, M., Park, J., &amp; Mensah, K. (2024). </w:t>
      </w:r>
      <w:r>
        <w:rPr>
          <w:i/>
          <w:iCs/>
        </w:rPr>
        <w:t xml:space="preserve">Cognitive Bias Risk in LLM Decision Support: A Position Paper.</w:t>
      </w:r>
      <w:r>
        <w:t xml:space="preserve"> arXiv:XXXX.XXXXX (synthetic).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[S3]</w:t>
      </w:r>
      <w:r>
        <w:t xml:space="preserve"> Banerjee, R., Cho, S., &amp; Whitfield, T. (2025). </w:t>
      </w:r>
      <w:r>
        <w:rPr>
          <w:i/>
          <w:iCs/>
        </w:rPr>
        <w:t xml:space="preserve">BiasGrid: A 40-Model Benchmark of Cognitive Bias Prevalence.</w:t>
      </w:r>
      <w:r>
        <w:t xml:space="preserve"> arXiv:XXXX.XXXXX (synthetic).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[S4]</w:t>
      </w:r>
      <w:r>
        <w:t xml:space="preserve"> Sato, Y., &amp; Pellegrini, L. (2025). </w:t>
      </w:r>
      <w:r>
        <w:rPr>
          <w:i/>
          <w:iCs/>
        </w:rPr>
        <w:t xml:space="preserve">Persona Conditioning and Bias Susceptibility in LLMs.</w:t>
      </w:r>
      <w:r>
        <w:t xml:space="preserve"> arXiv:XXXX.XXXXX (synthetic).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[S5]</w:t>
      </w:r>
      <w:r>
        <w:t xml:space="preserve"> Achebe, C., Romano, D., &amp; Idris, F. (2024). </w:t>
      </w:r>
      <w:r>
        <w:rPr>
          <w:i/>
          <w:iCs/>
        </w:rPr>
        <w:t xml:space="preserve">Self-Audit Prompting Reduces Anchoring in Generative Models.</w:t>
      </w:r>
      <w:r>
        <w:t xml:space="preserve"> arXiv:XXXX.XXXXX (synthetic).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[S6]</w:t>
      </w:r>
      <w:r>
        <w:t xml:space="preserve"> Voss, E., &amp; Hartman, G. (2025). </w:t>
      </w:r>
      <w:r>
        <w:rPr>
          <w:i/>
          <w:iCs/>
        </w:rPr>
        <w:t xml:space="preserve">Cognitive Bias as an Adversarial Surface in LLM Recommenders.</w:t>
      </w:r>
      <w:r>
        <w:t xml:space="preserve"> arXiv:XXXX.XXXXX (synthetic).</w:t>
      </w:r>
    </w:p>
    <w:p>
      <w:pPr>
        <w:pStyle w:val="Heading2"/>
      </w:pPr>
      <w:r>
        <w:t xml:space="preserve">9. Provenance &amp; limitations</w:t>
      </w:r>
    </w:p>
    <w:p>
      <w:pPr>
        <w:pBdr>
          <w:left w:val="single" w:color="B0B0B0" w:sz="12" w:space="12"/>
        </w:pBdr>
        <w:spacing w:after="120" w:before="60"/>
        <w:ind w:left="360"/>
      </w:pPr>
      <w:r>
        <w:rPr>
          <w:i/>
          <w:iCs/>
          <w:color w:val="5A5A5A"/>
          <w:sz w:val="19"/>
          <w:szCs w:val="19"/>
        </w:rPr>
        <w:t xml:space="preserve">How this deliverable was produced + honest caveats. A literature-review deliverable without this section is not trustworthy — every reader needs to know the evidence grade before acting on it.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This is a synthetic example.</w:t>
      </w:r>
      <w:r>
        <w:t xml:space="preserve"> All six papers, their authors, their identifiers, and every number are fabricated to illustrate the </w:t>
      </w:r>
      <w:r>
        <w:rPr>
          <w:i/>
          <w:iCs/>
        </w:rPr>
        <w:t xml:space="preserve">structure</w:t>
      </w:r>
      <w:r>
        <w:t xml:space="preserve"> of a research-hub literature-review deliverable. None refer to a real publication. A real run produces this same shape with real, resolvable sources.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Produced by:</w:t>
      </w:r>
      <w:r>
        <w:t xml:space="preserve"> the research-hub literature pipeline — </w:t>
      </w:r>
      <w:r>
        <w:rPr>
          <w:rFonts w:ascii="Consolas" w:cs="Consolas" w:eastAsia="Consolas" w:hAnsi="Consolas"/>
          <w:sz w:val="19"/>
          <w:szCs w:val="19"/>
        </w:rPr>
        <w:t xml:space="preserve">search</w:t>
      </w:r>
      <w:r>
        <w:t xml:space="preserve"> (corpus discovery) → </w:t>
      </w:r>
      <w:r>
        <w:rPr>
          <w:rFonts w:ascii="Consolas" w:cs="Consolas" w:eastAsia="Consolas" w:hAnsi="Consolas"/>
          <w:sz w:val="19"/>
          <w:szCs w:val="19"/>
        </w:rPr>
        <w:t xml:space="preserve">literature-triage-matrix</w:t>
      </w:r>
      <w:r>
        <w:t xml:space="preserve"> (§2–§4) → </w:t>
      </w:r>
      <w:r>
        <w:rPr>
          <w:rFonts w:ascii="Consolas" w:cs="Consolas" w:eastAsia="Consolas" w:hAnsi="Consolas"/>
          <w:sz w:val="19"/>
          <w:szCs w:val="19"/>
        </w:rPr>
        <w:t xml:space="preserve">research-design-helper</w:t>
      </w:r>
      <w:r>
        <w:t xml:space="preserve"> (§5–§7). Raw search output is archived alongside a real deliverable. </w:t>
      </w:r>
      <w:r>
        <w:rPr>
          <w:rFonts w:ascii="Consolas" w:cs="Consolas" w:eastAsia="Consolas" w:hAnsi="Consolas"/>
          <w:sz w:val="19"/>
          <w:szCs w:val="19"/>
        </w:rPr>
        <w:t xml:space="preserve">paper-memory-builder</w:t>
      </w:r>
      <w:r>
        <w:t xml:space="preserve"> is not a literature-review step — it runs on a user's own manuscript draft; the </w:t>
      </w:r>
      <w:r>
        <w:rPr>
          <w:rFonts w:ascii="Consolas" w:cs="Consolas" w:eastAsia="Consolas" w:hAnsi="Consolas"/>
          <w:sz w:val="19"/>
          <w:szCs w:val="19"/>
        </w:rPr>
        <w:t xml:space="preserve">.paper/claims.yml</w:t>
      </w:r>
      <w:r>
        <w:t xml:space="preserve"> claim IDs in §5 come from such a draft, not from the corpus.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Companion files (machine-readable):</w:t>
      </w:r>
      <w:r>
        <w:t xml:space="preserve"> every deliverable ships with </w:t>
      </w:r>
      <w:r>
        <w:rPr>
          <w:rFonts w:ascii="Consolas" w:cs="Consolas" w:eastAsia="Consolas" w:hAnsi="Consolas"/>
          <w:sz w:val="19"/>
          <w:szCs w:val="19"/>
        </w:rPr>
        <w:t xml:space="preserve">&lt;name&gt;.bib</w:t>
      </w:r>
      <w:r>
        <w:t xml:space="preserve"> — a BibTeX export of §8 References — and </w:t>
      </w:r>
      <w:r>
        <w:rPr>
          <w:rFonts w:ascii="Consolas" w:cs="Consolas" w:eastAsia="Consolas" w:hAnsi="Consolas"/>
          <w:sz w:val="19"/>
          <w:szCs w:val="19"/>
        </w:rPr>
        <w:t xml:space="preserve">&lt;name&gt;.gaps.yml</w:t>
      </w:r>
      <w:r>
        <w:t xml:space="preserve"> — a structured export of §5 research gaps + §6 open questions (each gap carries </w:t>
      </w:r>
      <w:r>
        <w:rPr>
          <w:rFonts w:ascii="Consolas" w:cs="Consolas" w:eastAsia="Consolas" w:hAnsi="Consolas"/>
          <w:sz w:val="19"/>
          <w:szCs w:val="19"/>
        </w:rPr>
        <w:t xml:space="preserve">statement / evidence / closes_via / linked_claim / status</w:t>
      </w:r>
      <w:r>
        <w:t xml:space="preserve">). For this example: </w:t>
      </w:r>
      <w:r>
        <w:rPr>
          <w:rFonts w:ascii="Consolas" w:cs="Consolas" w:eastAsia="Consolas" w:hAnsi="Consolas"/>
          <w:sz w:val="19"/>
          <w:szCs w:val="19"/>
        </w:rPr>
        <w:t xml:space="preserve">example-literature-review-deliverable.bib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example-literature-review-deliverable.gaps.yml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Corpus limitation:</w:t>
      </w:r>
      <w:r>
        <w:t xml:space="preserve"> in a real run the corpus is read </w:t>
      </w:r>
      <w:r>
        <w:rPr>
          <w:b/>
          <w:bCs/>
        </w:rPr>
        <w:t xml:space="preserve">abstract-only</w:t>
      </w:r>
      <w:r>
        <w:t xml:space="preserve"> unless full-text is fetched; quantified findings are transcribed from abstracts, and "not specified in abstract" is used wherever the abstract is silent.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Not a systematic review:</w:t>
      </w:r>
      <w:r>
        <w:t xml:space="preserve"> this is a screening-grade triage, not a reproducible database query with formal inclusion/exclusion criteria. Recall is unknown — relevant work may be missing.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Claim-status linkage:</w:t>
      </w:r>
      <w:r>
        <w:t xml:space="preserve"> claims in </w:t>
      </w:r>
      <w:r>
        <w:rPr>
          <w:rFonts w:ascii="Consolas" w:cs="Consolas" w:eastAsia="Consolas" w:hAnsi="Consolas"/>
          <w:sz w:val="19"/>
          <w:szCs w:val="19"/>
        </w:rPr>
        <w:t xml:space="preserve">.paper/claims.yml</w:t>
      </w:r>
      <w:r>
        <w:t xml:space="preserve"> carry a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field; </w:t>
      </w:r>
      <w:r>
        <w:rPr>
          <w:rFonts w:ascii="Consolas" w:cs="Consolas" w:eastAsia="Consolas" w:hAnsi="Consolas"/>
          <w:sz w:val="19"/>
          <w:szCs w:val="19"/>
        </w:rPr>
        <w:t xml:space="preserve">status: gap</w:t>
      </w:r>
      <w:r>
        <w:t xml:space="preserve"> claims (here C5 and C6) have empty </w:t>
      </w:r>
      <w:r>
        <w:rPr>
          <w:rFonts w:ascii="Consolas" w:cs="Consolas" w:eastAsia="Consolas" w:hAnsi="Consolas"/>
          <w:sz w:val="19"/>
          <w:szCs w:val="19"/>
        </w:rPr>
        <w:t xml:space="preserve">evidence_artifacts</w:t>
      </w:r>
      <w:r>
        <w:t xml:space="preserve"> and map to research gaps ([G2] and [G1] respectively).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To upgrade a real deliverable:</w:t>
      </w:r>
      <w:r>
        <w:t xml:space="preserve"> re-run </w:t>
      </w:r>
      <w:r>
        <w:rPr>
          <w:rFonts w:ascii="Consolas" w:cs="Consolas" w:eastAsia="Consolas" w:hAnsi="Consolas"/>
          <w:sz w:val="19"/>
          <w:szCs w:val="19"/>
        </w:rPr>
        <w:t xml:space="preserve">search</w:t>
      </w:r>
      <w:r>
        <w:t xml:space="preserve"> with varied query phrasings and merge; read the high-relevance papers in full; run the power analysis flagged in Q2.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F3B5B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Arial" w:cs="Arial" w:eastAsia="Arial" w:hAnsi="Arial"/>
      <w:b/>
      <w:bCs/>
      <w:color w:val="1F3B5B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Arial" w:cs="Arial" w:eastAsia="Arial" w:hAnsi="Arial"/>
      <w:b/>
      <w:bCs/>
      <w:color w:val="2E2E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2026-05-21T21:17:33.178Z</dcterms:created>
  <dcterms:modified xsi:type="dcterms:W3CDTF">2026-05-21T21:17:33.179Z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