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範例 — 文獻回顧交付品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b/>
          <w:bCs/>
          <w:i/>
          <w:iCs/>
          <w:color w:val="5A5A5A"/>
          <w:sz w:val="19"/>
          <w:szCs w:val="19"/>
        </w:rPr>
        <w:t xml:space="preserve">合成範例(SYNTHETIC EXAMPLE)。</w:t>
      </w:r>
      <w:r>
        <w:rPr>
          <w:i/>
          <w:iCs/>
          <w:color w:val="5A5A5A"/>
          <w:sz w:val="19"/>
          <w:szCs w:val="19"/>
        </w:rPr>
        <w:t xml:space="preserve"> 以下每一篇論文、作者、識別碼與數字 皆為 </w:t>
      </w:r>
      <w:r>
        <w:rPr>
          <w:b/>
          <w:bCs/>
          <w:i/>
          <w:iCs/>
          <w:color w:val="5A5A5A"/>
          <w:sz w:val="19"/>
          <w:szCs w:val="19"/>
        </w:rPr>
        <w:t xml:space="preserve">虛構</w:t>
      </w:r>
      <w:r>
        <w:rPr>
          <w:i/>
          <w:iCs/>
          <w:color w:val="5A5A5A"/>
          <w:sz w:val="19"/>
          <w:szCs w:val="19"/>
        </w:rPr>
        <w:t xml:space="preserve">,用以示範 research-hub 文獻回顧交付品的 </w:t>
      </w:r>
      <w:r>
        <w:rPr>
          <w:i/>
          <w:iCs/>
          <w:color w:val="5A5A5A"/>
          <w:sz w:val="19"/>
          <w:szCs w:val="19"/>
        </w:rPr>
        <w:t xml:space="preserve">外形</w:t>
      </w:r>
      <w:r>
        <w:rPr>
          <w:i/>
          <w:iCs/>
          <w:color w:val="5A5A5A"/>
          <w:sz w:val="19"/>
          <w:szCs w:val="19"/>
        </w:rPr>
        <w:t xml:space="preserve">。本文件不指涉 任何真實出版品。真實執行時,所有引用皆為真實且可解析。 — 不含任何真實 maintainer 產物(依目錄的 [</w:t>
      </w:r>
      <w:r>
        <w:rPr>
          <w:rFonts w:ascii="Consolas" w:cs="Consolas" w:eastAsia="Consolas" w:hAnsi="Consolas"/>
          <w:i/>
          <w:iCs/>
          <w:color w:val="5A5A5A"/>
          <w:sz w:val="19"/>
          <w:szCs w:val="19"/>
        </w:rPr>
        <w:t xml:space="preserve">## Limitations</w:t>
      </w:r>
      <w:r>
        <w:rPr>
          <w:i/>
          <w:iCs/>
          <w:color w:val="5A5A5A"/>
          <w:sz w:val="19"/>
          <w:szCs w:val="19"/>
        </w:rPr>
        <w:t xml:space="preserve">](../README.zh-TW.md) 政策)。 語言:[English](example-literature-review-deliverable.md) | [繁中](example-literature-review-deliverable.zh-TW.md)</w:t>
      </w:r>
    </w:p>
    <w:p>
      <w:pPr>
        <w:spacing w:after="80" w:before="80"/>
      </w:pPr>
      <w:r>
        <w:t xml:space="preserve">這是 research-hub 文獻管線(</w:t>
      </w:r>
      <w:r>
        <w:rPr>
          <w:rFonts w:ascii="Consolas" w:cs="Consolas" w:eastAsia="Consolas" w:hAnsi="Consolas"/>
          <w:sz w:val="19"/>
          <w:szCs w:val="19"/>
        </w:rPr>
        <w:t xml:space="preserve">search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literature-triage-matrix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research-design-helper</w:t>
      </w:r>
      <w:r>
        <w:t xml:space="preserve">)的端到端整合輸出 —— 這些 skill 加總起來會得到的 那一份文件。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b/>
          <w:bCs/>
          <w:i/>
          <w:iCs/>
          <w:color w:val="5A5A5A"/>
          <w:sz w:val="19"/>
          <w:szCs w:val="19"/>
        </w:rPr>
        <w:t xml:space="preserve">範本說明:</w:t>
      </w:r>
      <w:r>
        <w:rPr>
          <w:i/>
          <w:iCs/>
          <w:color w:val="5A5A5A"/>
          <w:sz w:val="19"/>
          <w:szCs w:val="19"/>
        </w:rPr>
        <w:t xml:space="preserve"> 本文件同時是「填好的範例」與「可重用的章節契約」。每個 </w:t>
      </w:r>
      <w:r>
        <w:rPr>
          <w:rFonts w:ascii="Consolas" w:cs="Consolas" w:eastAsia="Consolas" w:hAnsi="Consolas"/>
          <w:i/>
          <w:iCs/>
          <w:color w:val="5A5A5A"/>
          <w:sz w:val="19"/>
          <w:szCs w:val="19"/>
        </w:rPr>
        <w:t xml:space="preserve">&gt;</w:t>
      </w:r>
      <w:r>
        <w:rPr>
          <w:i/>
          <w:iCs/>
          <w:color w:val="5A5A5A"/>
          <w:sz w:val="19"/>
          <w:szCs w:val="19"/>
        </w:rPr>
        <w:t xml:space="preserve"> 斜體註記說明該章節必須包含什麼。重用方式:保留章節結構與斜體契約,把 合成內容換成你自己的語料。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主題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LLM 是否會在經典認知科學典範上重現人類式的認知偏誤?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範圍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錨定 / 框架 / persona 效應;模型規模、提示詳細度與應用領域風險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語料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 篇論文 —— 僅摘要,非全文(合成)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編製日期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2026-01-15(合成日期)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管線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research-hub: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search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literature-triage-matrix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research-design-helper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證據等級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篩選等級分流 —— </w:t>
            </w:r>
            <w:r>
              <w:rPr>
                <w:b/>
                <w:bCs/>
                <w:sz w:val="19"/>
                <w:szCs w:val="19"/>
              </w:rPr>
              <w:t xml:space="preserve">並非系統性回顧</w:t>
            </w:r>
          </w:p>
        </w:tc>
      </w:tr>
    </w:tbl>
    <w:p>
      <w:pPr>
        <w:spacing w:after="80"/>
      </w:pPr>
    </w:p>
    <w:p>
      <w:pPr>
        <w:pStyle w:val="Heading2"/>
        <w:pageBreakBefore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1. 重點摘要(TL;DR)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3–6 條:標題級發現、主要分歧、最尖銳的缺口。讀者就算只看到這裡,也該知道 下一步該做什麼。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認知偏誤在當前 LLM 中廣泛出現。</w:t>
      </w:r>
      <w:r>
        <w:t xml:space="preserve"> 一個 40 模型基準(Banerjee et al. 2025)報告 12 個偏誤類別中,22–61% 的題目出現偏誤一致回應;錨定偏誤本身 另有獨立確認(Reyes &amp; Okafor 2024)。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緩解是核心分歧。</w:t>
      </w:r>
      <w:r>
        <w:t xml:space="preserve"> Reyes &amp; Okafor(2024)發現簡單的提示式修正只把錨定 降低約 10%;Achebe et al.(2024)報告一種結構化自我稽核提示能移除大部分 效應。兩者用不同任務與指標,目前無法排序。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偏誤已蔓延到應用場景</w:t>
      </w:r>
      <w:r>
        <w:t xml:space="preserve"> —— Voss &amp; Hartman(2025)指出認知偏誤可被當作 LLM 推薦系統的黑箱操弄面利用。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最尖銳的缺口 [G1]:</w:t>
      </w:r>
      <w:r>
        <w:t xml:space="preserve"> 沒有任何研究以標準化的 </w:t>
      </w:r>
      <w:r>
        <w:rPr>
          <w:i/>
          <w:iCs/>
        </w:rPr>
        <w:t xml:space="preserve">自由作答</w:t>
      </w:r>
      <w:r>
        <w:t xml:space="preserve"> 效果量報告錨定 —— 整個語料只用比率與百分比陳述。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語料告誡:</w:t>
      </w:r>
      <w:r>
        <w:t xml:space="preserve"> 6 篇論文、僅摘要 —— 這是用來界定研究範圍的初步分流,並非 已成定論的證據。</w:t>
      </w:r>
    </w:p>
    <w:p>
      <w:pPr>
        <w:pStyle w:val="Heading2"/>
      </w:pPr>
      <w:r>
        <w:t xml:space="preserve">2. 文獻清單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每個來源一列。最少欄位:ID、引用、年份、證據類型(實證 / 概念性)、相關度 等級加一句理由。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60"/>
        <w:gridCol w:w="1480"/>
        <w:gridCol w:w="28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引用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年份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相關度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Reyes &amp; Okafor — </w:t>
            </w:r>
            <w:r>
              <w:rPr>
                <w:i/>
                <w:iCs/>
                <w:sz w:val="19"/>
                <w:szCs w:val="19"/>
              </w:rPr>
              <w:t xml:space="preserve">Anchoring Effects in Instruction-Tuned Language Models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實證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高</w:t>
            </w:r>
            <w:r>
              <w:rPr>
                <w:sz w:val="19"/>
                <w:szCs w:val="19"/>
              </w:rPr>
              <w:t xml:space="preserve"> —— 錨定的直接證據 + 簡單緩解的負面結果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S2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Lindqvist et al. — </w:t>
            </w:r>
            <w:r>
              <w:rPr>
                <w:i/>
                <w:iCs/>
                <w:sz w:val="19"/>
                <w:szCs w:val="19"/>
              </w:rPr>
              <w:t xml:space="preserve">Cognitive Bias Risk in LLM Decision Support: A Position Paper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概念性 / 立場文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中</w:t>
            </w:r>
            <w:r>
              <w:rPr>
                <w:sz w:val="19"/>
                <w:szCs w:val="19"/>
              </w:rPr>
              <w:t xml:space="preserve"> —— 風險框架;非實證錨點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Banerjee et al. — </w:t>
            </w:r>
            <w:r>
              <w:rPr>
                <w:i/>
                <w:iCs/>
                <w:sz w:val="19"/>
                <w:szCs w:val="19"/>
              </w:rPr>
              <w:t xml:space="preserve">BiasGrid: A 40-Model Benchmark of Cognitive Bias Prevalence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實證 + 基準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高</w:t>
            </w:r>
            <w:r>
              <w:rPr>
                <w:sz w:val="19"/>
                <w:szCs w:val="19"/>
              </w:rPr>
              <w:t xml:space="preserve"> —— 語料中範圍最廣的受控評估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S4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Sato &amp; Pellegrini — </w:t>
            </w:r>
            <w:r>
              <w:rPr>
                <w:i/>
                <w:iCs/>
                <w:sz w:val="19"/>
                <w:szCs w:val="19"/>
              </w:rPr>
              <w:t xml:space="preserve">Persona Conditioning and Bias Susceptibility in LLMs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實證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中</w:t>
            </w:r>
            <w:r>
              <w:rPr>
                <w:sz w:val="19"/>
                <w:szCs w:val="19"/>
              </w:rPr>
              <w:t xml:space="preserve"> —— 新增 persona 調節角度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S5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Achebe et al. — </w:t>
            </w:r>
            <w:r>
              <w:rPr>
                <w:i/>
                <w:iCs/>
                <w:sz w:val="19"/>
                <w:szCs w:val="19"/>
              </w:rPr>
              <w:t xml:space="preserve">Self-Audit Prompting Reduces Anchoring in Generative Models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實證 + 框架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高</w:t>
            </w:r>
            <w:r>
              <w:rPr>
                <w:sz w:val="19"/>
                <w:szCs w:val="19"/>
              </w:rPr>
              <w:t xml:space="preserve"> —— 提出一種在簡單提示失效處仍有效的緩解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S6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Voss &amp; Hartman — </w:t>
            </w:r>
            <w:r>
              <w:rPr>
                <w:i/>
                <w:iCs/>
                <w:sz w:val="19"/>
                <w:szCs w:val="19"/>
              </w:rPr>
              <w:t xml:space="preserve">Cognitive Bias as an Adversarial Surface in LLM Recommenders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實證(應用)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中高</w:t>
            </w:r>
            <w:r>
              <w:rPr>
                <w:sz w:val="19"/>
                <w:szCs w:val="19"/>
              </w:rPr>
              <w:t xml:space="preserve"> —— 偏誤作為已部署場景中的操弄向量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逐篇摘要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每個來源:研究問題 · 方法 · 樣本 · 主要發現(僅在來源有量化時才量化)· 作者自承的限制 · 如何使用。摘要沒給的數字絕不杜撰 —— 改寫「摘要未指明」。</w:t>
      </w:r>
    </w:p>
    <w:p>
      <w:pPr>
        <w:pStyle w:val="Heading3"/>
      </w:pPr>
      <w:r>
        <w:t xml:space="preserve">S1 — Reyes &amp; Okafor 2024 — Anchoring Effects in Instruction-Tuned Language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問題 / 方法:</w:t>
      </w:r>
      <w:r>
        <w:t xml:space="preserve"> 錨定是否出現在指令微調 LLM 中,提示式修正能否移除它? 以帶錨點的數值估計任務,比較四種提示式緩解策略。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樣本:</w:t>
      </w:r>
      <w:r>
        <w:t xml:space="preserve"> 8 個指令微調模型;1,800 個估計提示。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發現:</w:t>
      </w:r>
      <w:r>
        <w:t xml:space="preserve"> 錨定具強健性;四種提示式緩解平均只把效應降低約 10%。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限制:</w:t>
      </w:r>
      <w:r>
        <w:t xml:space="preserve"> 僅數值估計任務;無自由作答生成。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用途:</w:t>
      </w:r>
      <w:r>
        <w:t xml:space="preserve"> §「錨定專屬證據」;引用於「簡單去偏失效」。</w:t>
      </w:r>
    </w:p>
    <w:p>
      <w:pPr>
        <w:pStyle w:val="Heading3"/>
      </w:pPr>
      <w:r>
        <w:t xml:space="preserve">S2 — Lindqvist et al. 2024 — Cognitive Bias Risk in LLM Decision Support: A Position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問題 / 方法:</w:t>
      </w:r>
      <w:r>
        <w:t xml:space="preserve"> LLM 決策支援部署面臨哪些認知偏誤風險?概念性綜述;無量測。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樣本:</w:t>
      </w:r>
      <w:r>
        <w:t xml:space="preserve"> 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發現:</w:t>
      </w:r>
      <w:r>
        <w:t xml:space="preserve"> 指出五個偏誤家族為部署風險;提出一份緩解研究議程。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限制:</w:t>
      </w:r>
      <w:r>
        <w:t xml:space="preserve"> 無實證評估 —— 屬議題設定,非證據。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用途:</w:t>
      </w:r>
      <w:r>
        <w:t xml:space="preserve"> 引言 §「為何重要」;僅作動機。</w:t>
      </w:r>
    </w:p>
    <w:p>
      <w:pPr>
        <w:pStyle w:val="Heading3"/>
      </w:pPr>
      <w:r>
        <w:t xml:space="preserve">S3 — Banerjee et al. 2025 — BiasGrid: A 40-Model Benchmark of Cognitive Bias Prevalence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問題 / 方法:</w:t>
      </w:r>
      <w:r>
        <w:t xml:space="preserve"> 認知偏誤橫跨眾多 LLM 的盛行率如何,模型規模如何影響? 多選題基準;12 個偏誤類別;受控提示變化。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樣本:</w:t>
      </w:r>
      <w:r>
        <w:t xml:space="preserve"> 40 個模型 × 600 題 = 24,000 次評估。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發現:</w:t>
      </w:r>
      <w:r>
        <w:t xml:space="preserve"> 12 個類別中,22–61% 的題目出現偏誤一致回應;&gt;70B 的模型約在 三分之一情況降低偏誤;詳細提示對多數偏誤有助益,卻惡化確認框架。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限制:</w:t>
      </w:r>
      <w:r>
        <w:t xml:space="preserve"> 多選題格式;自由作答行為未受檢驗。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用途:</w:t>
      </w:r>
      <w:r>
        <w:t xml:space="preserve"> 方法 §「評估框架」;結果 §「盛行率數字」。</w:t>
      </w:r>
    </w:p>
    <w:p>
      <w:pPr>
        <w:pStyle w:val="Heading3"/>
      </w:pPr>
      <w:r>
        <w:t xml:space="preserve">S4 — Sato &amp; Pellegrini 2025 — Persona Conditioning and Bias Susceptibility in LLMs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問題 / 方法:</w:t>
      </w:r>
      <w:r>
        <w:t xml:space="preserve"> 指派的 persona 是否改變偏誤易感性?跨架構的 persona 條件化評估。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樣本:</w:t>
      </w:r>
      <w:r>
        <w:t xml:space="preserve"> 摘要未指明。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發現:</w:t>
      </w:r>
      <w:r>
        <w:t xml:space="preserve"> 分析型 persona 降低偏誤易感性;「專家」persona 提高過度自信偏誤。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限制:</w:t>
      </w:r>
      <w:r>
        <w:t xml:space="preserve">「persona」的操作化定義不透明。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用途:</w:t>
      </w:r>
      <w:r>
        <w:t xml:space="preserve"> 討論 §「偏誤的調節因子」;關於變異性的對照點。</w:t>
      </w:r>
    </w:p>
    <w:p>
      <w:pPr>
        <w:pStyle w:val="Heading3"/>
      </w:pPr>
      <w:r>
        <w:t xml:space="preserve">S5 — Achebe et al. 2024 — Self-Audit Prompting Reduces Anchoring in Generative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問題 / 方法:</w:t>
      </w:r>
      <w:r>
        <w:t xml:space="preserve"> 結構化的自我稽核提示能否緩解錨定?提出兩階段「自我稽核」 提示;與基線比較。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樣本:</w:t>
      </w:r>
      <w:r>
        <w:t xml:space="preserve"> 摘要未指明。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發現:</w:t>
      </w:r>
      <w:r>
        <w:t xml:space="preserve"> 在受測任務家族上,自我稽核提示移除了大部分錨定效應 —— 而簡單的 Chain-of-Thought 做不到。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限制:</w:t>
      </w:r>
      <w:r>
        <w:t xml:space="preserve"> 僅在單一任務家族上測試。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用途:</w:t>
      </w:r>
      <w:r>
        <w:t xml:space="preserve"> 方法 §「緩解框架」;對 S1 的直接對照點。</w:t>
      </w:r>
    </w:p>
    <w:p>
      <w:pPr>
        <w:pStyle w:val="Heading3"/>
      </w:pPr>
      <w:r>
        <w:t xml:space="preserve">S6 — Voss &amp; Hartman 2025 — Cognitive Bias as an Adversarial Surface in LLM Recommenders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問題 / 方法:</w:t>
      </w:r>
      <w:r>
        <w:t xml:space="preserve"> 認知偏誤能否被利用來操弄 LLM 推薦系統?以偏誤原則對品項 描述做黑箱操弄。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樣本:</w:t>
      </w:r>
      <w:r>
        <w:t xml:space="preserve"> 單一推薦系統設定;多個模型規模。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發現:</w:t>
      </w:r>
      <w:r>
        <w:t xml:space="preserve">「社會認同」框架能可靠推高品項的推薦排名;該操弄難以偵測。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限制:</w:t>
      </w:r>
      <w:r>
        <w:t xml:space="preserve"> 單一推薦系統設定;未評估任何緩解。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用途:</w:t>
      </w:r>
      <w:r>
        <w:t xml:space="preserve"> §「應用風險 / 偏誤作為攻擊面」。</w:t>
      </w:r>
    </w:p>
    <w:p>
      <w:pPr>
        <w:pStyle w:val="Heading2"/>
      </w:pPr>
      <w:r>
        <w:t xml:space="preserve">4. 跨論文綜合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語料一致之處、分歧之處(點名論文)、如何調和。明確標示低證據來源。不要把 分歧抹平 —— 要攤出來。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一致 —— 偏誤廣泛存在。</w:t>
      </w:r>
      <w:r>
        <w:t xml:space="preserve"> S1 與 S3 各自獨立確認認知偏誤(尤其錨定)橫跨 眾多模型出現。此現象的 </w:t>
      </w:r>
      <w:r>
        <w:rPr>
          <w:i/>
          <w:iCs/>
        </w:rPr>
        <w:t xml:space="preserve">存在性</w:t>
      </w:r>
      <w:r>
        <w:t xml:space="preserve"> 是本語料最站得住的主張。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核心分歧 —— 緩解有效嗎?</w:t>
      </w:r>
      <w:r>
        <w:t xml:space="preserve"> S1 報告簡單提示式修正只把錨定降低約 10%; S5 報告結構化自我稽核提示移除大部分效應。兩者用不同任務與指標,從摘要層級 無法調和 —— 這本身就是一個缺口([G5])。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應用風險</w:t>
      </w:r>
      <w:r>
        <w:t xml:space="preserve"> 是浮現的主題 —— S6 把認知偏誤重新框定為可被利用的操弄面, 而非僅是公平性問題。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調節因子</w:t>
      </w:r>
      <w:r>
        <w:t xml:space="preserve"> —— S4 補充指派的 persona 會改變易感性,這使任何單一的 「盛行率」數字都變得複雜。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低證據標示:</w:t>
      </w:r>
      <w:r>
        <w:t xml:space="preserve"> S2 是無量測的立場文 —— 用作動機,絕不作為證據錨點。</w:t>
      </w:r>
    </w:p>
    <w:p>
      <w:pPr>
        <w:pStyle w:val="Heading2"/>
      </w:pPr>
      <w:r>
        <w:t xml:space="preserve">5. 研究缺口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每個缺口 =(a)一句陳述,(b)它「是」缺口的證據 —— 哪些論文沒涵蓋它, (c)什麼能補上。缺口以 `[G-n]` 標記。對應到某項計畫研究的缺口,帶上 `.paper/claims.yml` 的 claim ID。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90"/>
        <w:gridCol w:w="3570"/>
        <w:gridCol w:w="20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缺口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陳述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為何是缺口(證據)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什麼能補上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[G1]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沒有標準化的自由作答效果量用於 LLM 錨定。</w:t>
            </w:r>
            <w:r>
              <w:rPr>
                <w:i/>
                <w:iCs/>
                <w:sz w:val="19"/>
                <w:szCs w:val="19"/>
              </w:rPr>
              <w:t xml:space="preserve">(→ claims.yml C6,status: gap)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S1 用數值估計任務;S3 用多選題;兩者皆未報告自由作答效果量。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一項報告標準化效果量的自由作答錨定前導研究。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[G2]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錨定效應對錨點合理性的依賴未受檢驗。</w:t>
            </w:r>
            <w:r>
              <w:rPr>
                <w:i/>
                <w:iCs/>
                <w:sz w:val="19"/>
                <w:szCs w:val="19"/>
              </w:rPr>
              <w:t xml:space="preserve">(→ claims.yml C5,status: gap)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沒有語料論文對錨點合理性分級;全用固定錨點。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一項分級錨點的前導研究,檢驗單調的劑量反應。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[G3]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跨論文結果無法比較 —— 每篇研究各用自己的基準。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S1、S3、S5 各用不同的任務集與指標;沒有共用基準。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一個帶共同嚴重度指標的共用公開基準。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[G4]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多選題 → 自由作答的可推廣性未受驗證。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S3 的盛行率數字全是多選題;開放式行為未受檢驗。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對基準子集做一次自由作答的重製。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[G5]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偏誤緩解的效力沒有正面對決評估。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S1(簡單提示失效)與 S5(自我稽核有效)在各自不同設定下無法相互比較。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在單一基準上對緩解方法做受控的對決比較。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[G6]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persona / 調節效應建立在不透明的操作化上。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只有 S4 做 persona 條件化,且其「persona」定義未指明。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對 S4 做全文閱讀 + 一次獨立的 persona 條件化重製。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開放問題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語料無法回答、且會影響上述缺口排序的未解問題。與缺口不同:缺口可由一項 明確研究補上;開放問題可能需要判斷或更多閱讀。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Q1:</w:t>
      </w:r>
      <w:r>
        <w:t xml:space="preserve"> S1 的估計任務與 S3 的 600 題基準題之間是否有任何共用情境?若無, 兩者表面上對盛行率的一致,可能只是兩個不重疊樣本因建構方式而相符。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Q2:</w:t>
      </w:r>
      <w:r>
        <w:t xml:space="preserve"> 前導研究應對 S3 的完整範圍(22–61%)還是其高端做檢定力設計? 此選擇改變所需樣本數;檢定力分析仍待完成。</w:t>
      </w:r>
    </w:p>
    <w:p>
      <w:pPr>
        <w:pStyle w:val="Heading2"/>
      </w:pPr>
      <w:r>
        <w:t xml:space="preserve">7. 建議下一步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缺口分析所指向、單一最高槓桿的研究,陳述到足以開工的程度。一段 + 一行 範圍說明。</w:t>
      </w:r>
    </w:p>
    <w:p>
      <w:pPr>
        <w:spacing w:after="80" w:before="80"/>
      </w:pPr>
      <w:r>
        <w:t xml:space="preserve">缺口分析最直接指向 </w:t>
      </w:r>
      <w:r>
        <w:rPr>
          <w:b/>
          <w:bCs/>
        </w:rPr>
        <w:t xml:space="preserve">[G1] + [G5]</w:t>
      </w:r>
      <w:r>
        <w:t xml:space="preserve">:執行一項同時作為緩解對決比較的自由作答 錨定前導研究。在單一釘選的模型快照上,於同一個自由作答任務上比較控制提示、 簡單 Chain-of-Thought 修正(S1 那一類)、以及自我稽核提示(S5 的方法)—— 例如每個條件 200 個提示 × 3 個錨點層級。為每種緩解報告錨定條件間的標準化 效果量,使 S1↔S5 的分歧在共同指標上得到解決。納入一個無錨對照以排除訓練 資料先驗。完整設計、混淆因子與風險登記:</w:t>
      </w:r>
      <w:r>
        <w:rPr>
          <w:rFonts w:ascii="Consolas" w:cs="Consolas" w:eastAsia="Consolas" w:hAnsi="Consolas"/>
          <w:sz w:val="19"/>
          <w:szCs w:val="19"/>
        </w:rPr>
        <w:t xml:space="preserve">.research/design_brief.md</w:t>
      </w:r>
      <w:r>
        <w:t xml:space="preserve">。</w:t>
      </w:r>
    </w:p>
    <w:p>
      <w:pPr>
        <w:spacing w:after="80" w:before="80"/>
      </w:pPr>
      <w:r>
        <w:rPr>
          <w:i/>
          <w:iCs/>
        </w:rPr>
        <w:t xml:space="preserve">範圍說明:</w:t>
      </w:r>
      <w:r>
        <w:t xml:space="preserve"> 一週原型;單一模型快照;單一任務家族;persona 調節因子([G6]) 與共用基準工作([G3])排除在原型之外。</w:t>
      </w:r>
    </w:p>
    <w:p>
      <w:pPr>
        <w:pStyle w:val="Heading2"/>
      </w:pPr>
      <w:r>
        <w:t xml:space="preserve">8. References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完整、可解析的參考文獻 —— 至少 arXiv ID / DOI + URL,依 ID 排序。真實 交付品中這些識別碼為真實且可解析;以下的佔位識別碼標示本文為合成範例。 (依學術慣例,本節維持原文,不翻譯。)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[S1]</w:t>
      </w:r>
      <w:r>
        <w:t xml:space="preserve"> Reyes, A., &amp; Okafor, N. (2024). </w:t>
      </w:r>
      <w:r>
        <w:rPr>
          <w:i/>
          <w:iCs/>
        </w:rPr>
        <w:t xml:space="preserve">Anchoring Effects in Instruction-Tuned Language Models.</w:t>
      </w:r>
      <w:r>
        <w:t xml:space="preserve"> arXiv:XXXX.XXXXX (synthetic).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[S2]</w:t>
      </w:r>
      <w:r>
        <w:t xml:space="preserve"> Lindqvist, M., Park, J., &amp; Mensah, K. (2024). </w:t>
      </w:r>
      <w:r>
        <w:rPr>
          <w:i/>
          <w:iCs/>
        </w:rPr>
        <w:t xml:space="preserve">Cognitive Bias Risk in LLM Decision Support: A Position Paper.</w:t>
      </w:r>
      <w:r>
        <w:t xml:space="preserve"> arXiv:XXXX.XXXXX (synthetic).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[S3]</w:t>
      </w:r>
      <w:r>
        <w:t xml:space="preserve"> Banerjee, R., Cho, S., &amp; Whitfield, T. (2025). </w:t>
      </w:r>
      <w:r>
        <w:rPr>
          <w:i/>
          <w:iCs/>
        </w:rPr>
        <w:t xml:space="preserve">BiasGrid: A 40-Model Benchmark of Cognitive Bias Prevalence.</w:t>
      </w:r>
      <w:r>
        <w:t xml:space="preserve"> arXiv:XXXX.XXXXX (synthetic).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[S4]</w:t>
      </w:r>
      <w:r>
        <w:t xml:space="preserve"> Sato, Y., &amp; Pellegrini, L. (2025). </w:t>
      </w:r>
      <w:r>
        <w:rPr>
          <w:i/>
          <w:iCs/>
        </w:rPr>
        <w:t xml:space="preserve">Persona Conditioning and Bias Susceptibility in LLMs.</w:t>
      </w:r>
      <w:r>
        <w:t xml:space="preserve"> arXiv:XXXX.XXXXX (synthetic).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[S5]</w:t>
      </w:r>
      <w:r>
        <w:t xml:space="preserve"> Achebe, C., Romano, D., &amp; Idris, F. (2024). </w:t>
      </w:r>
      <w:r>
        <w:rPr>
          <w:i/>
          <w:iCs/>
        </w:rPr>
        <w:t xml:space="preserve">Self-Audit Prompting Reduces Anchoring in Generative Models.</w:t>
      </w:r>
      <w:r>
        <w:t xml:space="preserve"> arXiv:XXXX.XXXXX (synthetic).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[S6]</w:t>
      </w:r>
      <w:r>
        <w:t xml:space="preserve"> Voss, E., &amp; Hartman, G. (2025). </w:t>
      </w:r>
      <w:r>
        <w:rPr>
          <w:i/>
          <w:iCs/>
        </w:rPr>
        <w:t xml:space="preserve">Cognitive Bias as an Adversarial Surface in LLM Recommenders.</w:t>
      </w:r>
      <w:r>
        <w:t xml:space="preserve"> arXiv:XXXX.XXXXX (synthetic).</w:t>
      </w:r>
    </w:p>
    <w:p>
      <w:pPr>
        <w:pStyle w:val="Heading2"/>
      </w:pPr>
      <w:r>
        <w:t xml:space="preserve">9. 來源與限制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本交付品如何產出 + 誠實的告誡。沒有這一節的文獻回顧交付品不可信 —— 每位讀者都需要先知道證據等級,才能據以行動。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本文是合成範例。</w:t>
      </w:r>
      <w:r>
        <w:t xml:space="preserve"> 全部六篇論文、其作者、其識別碼與每一個數字皆為虛構, 用以示範 research-hub 文獻回顧交付品的 </w:t>
      </w:r>
      <w:r>
        <w:rPr>
          <w:i/>
          <w:iCs/>
        </w:rPr>
        <w:t xml:space="preserve">結構</w:t>
      </w:r>
      <w:r>
        <w:t xml:space="preserve">。皆不指涉真實出版品。真實 執行會以真實、可解析的來源產出同樣的外形。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產出者:</w:t>
      </w:r>
      <w:r>
        <w:t xml:space="preserve"> research-hub 文獻管線 —— </w:t>
      </w:r>
      <w:r>
        <w:rPr>
          <w:rFonts w:ascii="Consolas" w:cs="Consolas" w:eastAsia="Consolas" w:hAnsi="Consolas"/>
          <w:sz w:val="19"/>
          <w:szCs w:val="19"/>
        </w:rPr>
        <w:t xml:space="preserve">search</w:t>
      </w:r>
      <w:r>
        <w:t xml:space="preserve">(語料探索)→ </w:t>
      </w:r>
      <w:r>
        <w:rPr>
          <w:rFonts w:ascii="Consolas" w:cs="Consolas" w:eastAsia="Consolas" w:hAnsi="Consolas"/>
          <w:sz w:val="19"/>
          <w:szCs w:val="19"/>
        </w:rPr>
        <w:t xml:space="preserve">literature-triage-matrix</w:t>
      </w:r>
      <w:r>
        <w:t xml:space="preserve">(§2–§4)→ </w:t>
      </w:r>
      <w:r>
        <w:rPr>
          <w:rFonts w:ascii="Consolas" w:cs="Consolas" w:eastAsia="Consolas" w:hAnsi="Consolas"/>
          <w:sz w:val="19"/>
          <w:szCs w:val="19"/>
        </w:rPr>
        <w:t xml:space="preserve">research-design-helper</w:t>
      </w:r>
      <w:r>
        <w:t xml:space="preserve">(§5–§7)。 真實交付品會一併保存原始搜尋輸出。</w:t>
      </w:r>
      <w:r>
        <w:rPr>
          <w:rFonts w:ascii="Consolas" w:cs="Consolas" w:eastAsia="Consolas" w:hAnsi="Consolas"/>
          <w:sz w:val="19"/>
          <w:szCs w:val="19"/>
        </w:rPr>
        <w:t xml:space="preserve">paper-memory-builder</w:t>
      </w:r>
      <w:r>
        <w:t xml:space="preserve"> 不是文獻回顧 步驟 —— 它在使用者自己的手稿草稿上執行;§5 的 </w:t>
      </w:r>
      <w:r>
        <w:rPr>
          <w:rFonts w:ascii="Consolas" w:cs="Consolas" w:eastAsia="Consolas" w:hAnsi="Consolas"/>
          <w:sz w:val="19"/>
          <w:szCs w:val="19"/>
        </w:rPr>
        <w:t xml:space="preserve">.paper/claims.yml</w:t>
      </w:r>
      <w:r>
        <w:t xml:space="preserve"> claim ID 來自那份草稿,而非語料。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機器可讀的伴隨檔:</w:t>
      </w:r>
      <w:r>
        <w:t xml:space="preserve"> 每份交付品都附 </w:t>
      </w:r>
      <w:r>
        <w:rPr>
          <w:rFonts w:ascii="Consolas" w:cs="Consolas" w:eastAsia="Consolas" w:hAnsi="Consolas"/>
          <w:sz w:val="19"/>
          <w:szCs w:val="19"/>
        </w:rPr>
        <w:t xml:space="preserve">&lt;name&gt;.bib</w:t>
      </w:r>
      <w:r>
        <w:t xml:space="preserve">(§8 參考文獻的 BibTeX 匯出)與 </w:t>
      </w:r>
      <w:r>
        <w:rPr>
          <w:rFonts w:ascii="Consolas" w:cs="Consolas" w:eastAsia="Consolas" w:hAnsi="Consolas"/>
          <w:sz w:val="19"/>
          <w:szCs w:val="19"/>
        </w:rPr>
        <w:t xml:space="preserve">&lt;name&gt;.gaps.yml</w:t>
      </w:r>
      <w:r>
        <w:t xml:space="preserve">(§5 研究缺口 + §6 開放問題的結構化 匯出,每個缺口帶 </w:t>
      </w:r>
      <w:r>
        <w:rPr>
          <w:rFonts w:ascii="Consolas" w:cs="Consolas" w:eastAsia="Consolas" w:hAnsi="Consolas"/>
          <w:sz w:val="19"/>
          <w:szCs w:val="19"/>
        </w:rPr>
        <w:t xml:space="preserve">statement / evidence / closes_via / linked_claim / status</w:t>
      </w:r>
      <w:r>
        <w:t xml:space="preserve">)。本範例為 </w:t>
      </w:r>
      <w:r>
        <w:rPr>
          <w:rFonts w:ascii="Consolas" w:cs="Consolas" w:eastAsia="Consolas" w:hAnsi="Consolas"/>
          <w:sz w:val="19"/>
          <w:szCs w:val="19"/>
        </w:rPr>
        <w:t xml:space="preserve">example-literature-review-deliverable.bib</w:t>
      </w:r>
      <w:r>
        <w:t xml:space="preserve"> 與 </w:t>
      </w:r>
      <w:r>
        <w:rPr>
          <w:rFonts w:ascii="Consolas" w:cs="Consolas" w:eastAsia="Consolas" w:hAnsi="Consolas"/>
          <w:sz w:val="19"/>
          <w:szCs w:val="19"/>
        </w:rPr>
        <w:t xml:space="preserve">example-literature-review-deliverable.gaps.yml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語料限制:</w:t>
      </w:r>
      <w:r>
        <w:t xml:space="preserve"> 真實執行中,除非取得全文,語料僅讀摘要;量化發現由摘要 轉錄,摘要未提之處一律寫「摘要未指明」。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並非系統性回顧:</w:t>
      </w:r>
      <w:r>
        <w:t xml:space="preserve"> 這是篩選等級的分流,並非帶正式納入 / 排除準則的可重製 資料庫查詢。召回率未知 —— 可能有相關研究遺漏。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claim 狀態串接: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.paper/claims.yml</w:t>
      </w:r>
      <w:r>
        <w:t xml:space="preserve"> 中的 claim 帶有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 欄位; </w:t>
      </w:r>
      <w:r>
        <w:rPr>
          <w:rFonts w:ascii="Consolas" w:cs="Consolas" w:eastAsia="Consolas" w:hAnsi="Consolas"/>
          <w:sz w:val="19"/>
          <w:szCs w:val="19"/>
        </w:rPr>
        <w:t xml:space="preserve">status: gap</w:t>
      </w:r>
      <w:r>
        <w:t xml:space="preserve"> 的 claim(此處為 C5 與 C6)其 </w:t>
      </w:r>
      <w:r>
        <w:rPr>
          <w:rFonts w:ascii="Consolas" w:cs="Consolas" w:eastAsia="Consolas" w:hAnsi="Consolas"/>
          <w:sz w:val="19"/>
          <w:szCs w:val="19"/>
        </w:rPr>
        <w:t xml:space="preserve">evidence_artifacts</w:t>
      </w:r>
      <w:r>
        <w:t xml:space="preserve"> 為空, 並對映到研究缺口(分別為 [G2] 與 [G1])。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如何升級真實交付品:</w:t>
      </w:r>
      <w:r>
        <w:t xml:space="preserve"> 以不同查詢措辭重跑 </w:t>
      </w:r>
      <w:r>
        <w:rPr>
          <w:rFonts w:ascii="Consolas" w:cs="Consolas" w:eastAsia="Consolas" w:hAnsi="Consolas"/>
          <w:sz w:val="19"/>
          <w:szCs w:val="19"/>
        </w:rPr>
        <w:t xml:space="preserve">search</w:t>
      </w:r>
      <w:r>
        <w:t xml:space="preserve"> 並合併;對高相關度 論文做全文閱讀;執行 Q2 標示的檢定力分析。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Microsoft JhengHei" w:cs="Microsoft JhengHei" w:eastAsia="Microsoft JhengHei" w:hAnsi="Microsoft JhengHei"/>
      <w:b/>
      <w:bCs/>
      <w:color w:val="1F3B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icrosoft JhengHei" w:cs="Microsoft JhengHei" w:eastAsia="Microsoft JhengHei" w:hAnsi="Microsoft JhengHei"/>
      <w:b/>
      <w:bCs/>
      <w:color w:val="1F3B5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icrosoft JhengHei" w:cs="Microsoft JhengHei" w:eastAsia="Microsoft JhengHei" w:hAnsi="Microsoft JhengHe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2026-05-21T21:17:33.277Z</dcterms:created>
  <dcterms:modified xsi:type="dcterms:W3CDTF">2026-05-21T21:17:33.278Z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