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3bc74c854f151176269e10a166b6310955e193"/>
    <w:p>
      <w:pPr>
        <w:pStyle w:val="Title"/>
        <w:widowControl/>
      </w:pPr>
      <w:r>
        <w:rPr>
          <w:color w:val="000000"/>
        </w:rPr>
        <w:t xml:space="preserve">Topic Decision Dossier — LLM applications in water resources</w:t>
      </w:r>
    </w:p>
    <w:bookmarkStart w:id="20" w:name="executive-decision-summary"/>
    <w:p>
      <w:pPr>
        <w:pStyle w:val="Heading2"/>
        <w:widowControl/>
      </w:pPr>
      <w:r>
        <w:rPr>
          <w:color w:val="000000"/>
        </w:rPr>
        <w:t xml:space="preserve">1. Executive Decision Summary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189"/>
        <w:gridCol w:w="7603"/>
      </w:tblGrid>
      <w:tr>
        <w:trPr>
          <w:tblHeader w:val="on"/>
          <w:tblHeader/>
        </w:trPr>
        <w:tc>
          <w:tcPr>
            <w:tcW w:type="dxa" w:w="2189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W w:type="dxa" w:w="7603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Area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Applications of large language models in water resources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Compiled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2026-05-22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Verdict grade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Screening-grade — assembles evidence; does NOT decide worth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Search confidence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Medium — Semantic Scholar was unavailable during the run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Historical record and current use.</w:t>
      </w:r>
      <w:r>
        <w:t xml:space="preserve"> </w:t>
      </w:r>
      <w:r>
        <w:t xml:space="preserve">This dossier preserves the screening</w:t>
      </w:r>
      <w:r>
        <w:t xml:space="preserve"> </w:t>
      </w:r>
      <w:r>
        <w:t xml:space="preserve">run of 2026-05-22, its 435 retrieved papers, 25 screened papers, 13-paper</w:t>
      </w:r>
      <w:r>
        <w:t xml:space="preserve"> </w:t>
      </w:r>
      <w:r>
        <w:t xml:space="preserve">corpus, scores, and original verdict labels. No new literature search or</w:t>
      </w:r>
      <w:r>
        <w:t xml:space="preserve"> </w:t>
      </w:r>
      <w:r>
        <w:t xml:space="preserve">feasibility verification accompanies this clarification. Current gap status,</w:t>
      </w:r>
      <w:r>
        <w:t xml:space="preserve"> </w:t>
      </w:r>
      <w:r>
        <w:t xml:space="preserve">contribution, and feasibility are therefore</w:t>
      </w:r>
      <w:r>
        <w:t xml:space="preserve"> </w:t>
      </w:r>
      <w:r>
        <w:rPr>
          <w:b/>
          <w:bCs/>
        </w:rPr>
        <w:t xml:space="preserve">unknown</w:t>
      </w:r>
      <w:r>
        <w:t xml:space="preserve">. The original</w:t>
      </w:r>
      <w:r>
        <w:t xml:space="preserve"> </w:t>
      </w:r>
      <w:r>
        <w:rPr>
          <w:rStyle w:val="VerbatimChar"/>
        </w:rPr>
        <w:t xml:space="preserve">conditional-go</w:t>
      </w:r>
      <w:r>
        <w:t xml:space="preserve"> </w:t>
      </w:r>
      <w:r>
        <w:t xml:space="preserve">is a historical screening label, not a current topic</w:t>
      </w:r>
      <w:r>
        <w:t xml:space="preserve"> </w:t>
      </w:r>
      <w:r>
        <w:t xml:space="preserve">selection; a researcher must explicitly select a topic after reviewing</w:t>
      </w:r>
      <w:r>
        <w:t xml:space="preserve"> </w:t>
      </w:r>
      <w:r>
        <w:t xml:space="preserve">updated evidence and unresolved conditions, with advisor input as appropriate.</w:t>
      </w:r>
      <w:r>
        <w:t xml:space="preserve"> </w:t>
      </w:r>
      <w:r>
        <w:t xml:space="preserve">No such selection is recorded here. A neutral 3/5 score is unresolved, not a</w:t>
      </w:r>
      <w:r>
        <w:t xml:space="preserve"> </w:t>
      </w:r>
      <w:r>
        <w:t xml:space="preserve">passed gate.</w:t>
      </w:r>
    </w:p>
    <w:p>
      <w:pPr>
        <w:pStyle w:val="BodyText"/>
        <w:widowControl/>
      </w:pPr>
      <w:r>
        <w:t xml:space="preserve">Two candidate topics were evaluated in that historical run for applying</w:t>
      </w:r>
      <w:r>
        <w:t xml:space="preserve"> </w:t>
      </w:r>
      <w:r>
        <w:t xml:space="preserve">large language models to water resources.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189"/>
        <w:gridCol w:w="7603"/>
      </w:tblGrid>
      <w:tr>
        <w:trPr>
          <w:tblHeader w:val="on"/>
          <w:tblHeader/>
        </w:trPr>
        <w:tc>
          <w:tcPr>
            <w:tcW w:type="dxa" w:w="2189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Candidate 1</w:t>
            </w:r>
          </w:p>
        </w:tc>
        <w:tc>
          <w:tcPr>
            <w:tcW w:type="dxa" w:w="7603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LLM-driven water resources management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Historical verdict</w:t>
            </w:r>
          </w:p>
        </w:tc>
        <w:tc>
          <w:tcPr>
            <w:tcW w:type="dxa" w:w="7603"/>
            <w:vAlign w:val="center"/>
            <w:shd w:fill="F4DEDE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Do not pursue — as stated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Reason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A hydrology-specific LLM benchmark (HydroLLM, Kizilkaya et al. 2025) and a bibliometric analysis of LLMs in hydrology (Sajja et al. 2025) were identified in the bounded corpus. They contradict the broad claim that the area is untried; they do not establish that every narrower problem is occupied.</w:t>
            </w:r>
          </w:p>
        </w:tc>
      </w:tr>
    </w:tbl>
    <w:p>
      <w:pPr>
        <w:widowControl/>
      </w:pP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189"/>
        <w:gridCol w:w="7603"/>
      </w:tblGrid>
      <w:tr>
        <w:trPr>
          <w:tblHeader w:val="on"/>
          <w:tblHeader/>
        </w:trPr>
        <w:tc>
          <w:tcPr>
            <w:tcW w:type="dxa" w:w="2189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Candidate 2</w:t>
            </w:r>
          </w:p>
        </w:tc>
        <w:tc>
          <w:tcPr>
            <w:tcW w:type="dxa" w:w="7603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LLM agents for human behaviour in socio-hydrology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Historical verdict</w:t>
            </w:r>
          </w:p>
        </w:tc>
        <w:tc>
          <w:tcPr>
            <w:tcW w:type="dxa" w:w="7603"/>
            <w:vAlign w:val="center"/>
            <w:shd w:fill="FFF3D6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Worth pursuing — only if its open conditions hold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Reason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No paper in the selected 13-paper corpus was identified as building calibrated LLM agents for socio-hydrology. This does not establish absence from the wider literature. Schück (2026) is a peer-reviewed paper that explicitly cautions against using LLMs for human data in human-water research — the project's validation design must answer that caution.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Key uncertainty.</w:t>
      </w:r>
      <w:r>
        <w:t xml:space="preserve"> </w:t>
      </w:r>
      <w:r>
        <w:t xml:space="preserve">Historical recall confidence was only medium — Semantic Scholar</w:t>
      </w:r>
      <w:r>
        <w:t xml:space="preserve"> </w:t>
      </w:r>
      <w:r>
        <w:t xml:space="preserve">was rate-limited during the run, so missed papers for Candidate 2 remain</w:t>
      </w:r>
      <w:r>
        <w:t xml:space="preserve"> </w:t>
      </w:r>
      <w:r>
        <w:t xml:space="preserve">possible. Re-running with that backend can improve coverage but cannot</w:t>
      </w:r>
      <w:r>
        <w:t xml:space="preserve"> </w:t>
      </w:r>
      <w:r>
        <w:t xml:space="preserve">guarantee complete recall.</w:t>
      </w:r>
    </w:p>
    <w:bookmarkEnd w:id="20"/>
    <w:bookmarkStart w:id="21" w:name="candidate-definitions"/>
    <w:p>
      <w:pPr>
        <w:pStyle w:val="Heading2"/>
        <w:widowControl/>
      </w:pPr>
      <w:r>
        <w:rPr>
          <w:color w:val="000000"/>
        </w:rPr>
        <w:t xml:space="preserve">2. Candidate Definitions</w:t>
      </w:r>
    </w:p>
    <w:p>
      <w:pPr>
        <w:pStyle w:val="FirstParagraph"/>
        <w:widowControl/>
      </w:pPr>
      <w:r>
        <w:rPr>
          <w:b/>
          <w:bCs/>
        </w:rPr>
        <w:t xml:space="preserve">Candidate 1 — LLM-driven water resources management.</w:t>
      </w:r>
      <w:r>
        <w:t xml:space="preserve"> </w:t>
      </w:r>
      <w:r>
        <w:t xml:space="preserve">Using LLMs and</w:t>
      </w:r>
      <w:r>
        <w:t xml:space="preserve"> </w:t>
      </w:r>
      <w:r>
        <w:t xml:space="preserve">LLM agents for water resources management and decision support:</w:t>
      </w:r>
      <w:r>
        <w:t xml:space="preserve"> </w:t>
      </w:r>
      <w:r>
        <w:t xml:space="preserve">hydrological forecasting, reservoir and river operations, monitoring, and</w:t>
      </w:r>
      <w:r>
        <w:t xml:space="preserve"> </w:t>
      </w:r>
      <w:r>
        <w:t xml:space="preserve">planning.</w:t>
      </w:r>
      <w:r>
        <w:t xml:space="preserve"> </w:t>
      </w:r>
      <w:r>
        <w:rPr>
          <w:i/>
          <w:iCs/>
        </w:rPr>
        <w:t xml:space="preserve">Initial gap hypothesis tested:</w:t>
      </w:r>
      <w:r>
        <w:t xml:space="preserve"> </w:t>
      </w:r>
      <w:r>
        <w:t xml:space="preserve">Applying LLMs broadly across</w:t>
      </w:r>
      <w:r>
        <w:t xml:space="preserve"> </w:t>
      </w:r>
      <w:r>
        <w:t xml:space="preserve">water-resources management might be untried. The retrieved prior work</w:t>
      </w:r>
      <w:r>
        <w:t xml:space="preserve"> </w:t>
      </w:r>
      <w:r>
        <w:t xml:space="preserve">contradicts that broad hypothesis.</w:t>
      </w:r>
    </w:p>
    <w:p>
      <w:pPr>
        <w:pStyle w:val="BodyText"/>
        <w:widowControl/>
      </w:pPr>
      <w:r>
        <w:rPr>
          <w:b/>
          <w:bCs/>
        </w:rPr>
        <w:t xml:space="preserve">Candidate 2 — LLM agents for human behaviour in socio-hydrology.</w:t>
      </w:r>
      <w:r>
        <w:t xml:space="preserve"> </w:t>
      </w:r>
      <w:r>
        <w:t xml:space="preserve">Using</w:t>
      </w:r>
      <w:r>
        <w:t xml:space="preserve"> </w:t>
      </w:r>
      <w:r>
        <w:t xml:space="preserve">LLM agents to represent how individual stakeholders and households make</w:t>
      </w:r>
      <w:r>
        <w:t xml:space="preserve"> </w:t>
      </w:r>
      <w:r>
        <w:t xml:space="preserve">water decisions inside a coupled human–water (socio-hydrology) model, with</w:t>
      </w:r>
      <w:r>
        <w:t xml:space="preserve"> </w:t>
      </w:r>
      <w:r>
        <w:t xml:space="preserve">those agents calibrated and checked against observed water-use and</w:t>
      </w:r>
      <w:r>
        <w:t xml:space="preserve"> </w:t>
      </w:r>
      <w:r>
        <w:t xml:space="preserve">adaptation behaviour.</w:t>
      </w:r>
      <w:r>
        <w:t xml:space="preserve"> </w:t>
      </w:r>
      <w:r>
        <w:rPr>
          <w:i/>
          <w:iCs/>
        </w:rPr>
        <w:t xml:space="preserve">Gap hypothesis remaining to test:</w:t>
      </w:r>
      <w:r>
        <w:t xml:space="preserve"> </w:t>
      </w:r>
      <w:r>
        <w:t xml:space="preserve">Calibrated LLM</w:t>
      </w:r>
      <w:r>
        <w:t xml:space="preserve"> </w:t>
      </w:r>
      <w:r>
        <w:t xml:space="preserve">agents for stakeholder behaviour in a socio-hydrology model may be</w:t>
      </w:r>
      <w:r>
        <w:t xml:space="preserve"> </w:t>
      </w:r>
      <w:r>
        <w:t xml:space="preserve">under-studied. No matching implementation was identified in the selected</w:t>
      </w:r>
      <w:r>
        <w:t xml:space="preserve"> </w:t>
      </w:r>
      <w:r>
        <w:t xml:space="preserve">corpus; its absence from the wider literature remains unverified.</w:t>
      </w:r>
    </w:p>
    <w:bookmarkEnd w:id="21"/>
    <w:bookmarkStart w:id="22" w:name="decision-scorecards"/>
    <w:p>
      <w:pPr>
        <w:pStyle w:val="Heading2"/>
        <w:widowControl/>
      </w:pPr>
      <w:r>
        <w:rPr>
          <w:color w:val="000000"/>
        </w:rPr>
        <w:t xml:space="preserve">3. Decision Scorecards</w:t>
      </w:r>
    </w:p>
    <w:p>
      <w:pPr>
        <w:pStyle w:val="FirstParagraph"/>
        <w:keepNext/>
        <w:widowControl/>
      </w:pPr>
      <w:r>
        <w:rPr>
          <w:b/>
          <w:bCs/>
        </w:rPr>
        <w:t xml:space="preserve">Candidate 1 — LLM-driven water resources management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376"/>
        <w:gridCol w:w="2952"/>
        <w:gridCol w:w="4464"/>
      </w:tblGrid>
      <w:tr>
        <w:trPr>
          <w:tblHeader w:val="on"/>
          <w:tblHeader/>
        </w:trPr>
        <w:tc>
          <w:tcPr>
            <w:tcW w:type="dxa" w:w="2376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Gate</w:t>
            </w:r>
          </w:p>
        </w:tc>
        <w:tc>
          <w:tcPr>
            <w:tcW w:type="dxa" w:w="2952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Score</w:t>
            </w:r>
          </w:p>
        </w:tc>
        <w:tc>
          <w:tcPr>
            <w:tcW w:type="dxa" w:w="4464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Gate 1 — Gap still open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1/5 strongly disagree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Historical assessment: retrieved prior work contradicts the broad untried-area claim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Gate 2 — Real contribution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Not assessed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Failed Gate 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Gate 3 — Feasible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Not assessed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Failed Gate 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bCs/>
                <w:color w:val="000000"/>
                <w:sz w:val="19"/>
              </w:rPr>
              <w:t xml:space="preserve">Historical verdict</w:t>
            </w:r>
          </w:p>
        </w:tc>
        <w:tc>
          <w:tcPr>
            <w:tcW w:type="dxa" w:w="2952"/>
            <w:vAlign w:val="center"/>
            <w:shd w:fill="F4DEDE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bCs/>
                <w:color w:val="000000"/>
                <w:sz w:val="19"/>
              </w:rPr>
              <w:t xml:space="preserve">Do not pursue — as stated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Broad novelty claim unsupported; narrower opportunities not ruled out</w:t>
            </w:r>
          </w:p>
        </w:tc>
      </w:tr>
    </w:tbl>
    <w:p>
      <w:pPr>
        <w:pStyle w:val="BodyText"/>
        <w:keepNext/>
        <w:widowControl/>
      </w:pPr>
      <w:r>
        <w:rPr>
          <w:b/>
          <w:bCs/>
        </w:rPr>
        <w:t xml:space="preserve">Candidate 2 — LLM agents for human behaviour in socio-hydrology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376"/>
        <w:gridCol w:w="2952"/>
        <w:gridCol w:w="4464"/>
      </w:tblGrid>
      <w:tr>
        <w:trPr>
          <w:tblHeader w:val="on"/>
          <w:tblHeader/>
        </w:trPr>
        <w:tc>
          <w:tcPr>
            <w:tcW w:type="dxa" w:w="2376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Gate</w:t>
            </w:r>
          </w:p>
        </w:tc>
        <w:tc>
          <w:tcPr>
            <w:tcW w:type="dxa" w:w="2952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Score</w:t>
            </w:r>
          </w:p>
        </w:tc>
        <w:tc>
          <w:tcPr>
            <w:tcW w:type="dxa" w:w="4464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Gate 1 — Gap still open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3/5 neutral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Unresolved: no match identified in the bounded corpus; medium-confidence search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Gate 2 — Real contribution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3/5 neutral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Borderline — the contribution depends on the validation design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Gate 3 — Feasible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3/5 neutral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Historical estimate only; access to a suitable behavioural dataset was unverified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bCs/>
                <w:color w:val="000000"/>
                <w:sz w:val="19"/>
              </w:rPr>
              <w:t xml:space="preserve">Historical verdict</w:t>
            </w:r>
          </w:p>
        </w:tc>
        <w:tc>
          <w:tcPr>
            <w:tcW w:type="dxa" w:w="2952"/>
            <w:vAlign w:val="center"/>
            <w:shd w:fill="FFF3D6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bCs/>
                <w:color w:val="000000"/>
                <w:sz w:val="19"/>
              </w:rPr>
              <w:t xml:space="preserve">Worth pursuing — only if its open conditions hold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Original conditional-go retained for provenance; neutral scores do not pass gates or record researcher selection</w:t>
            </w:r>
          </w:p>
        </w:tc>
      </w:tr>
    </w:tbl>
    <w:bookmarkEnd w:id="22"/>
    <w:bookmarkStart w:id="23" w:name="evidence-base"/>
    <w:p>
      <w:pPr>
        <w:pStyle w:val="Heading2"/>
        <w:widowControl/>
      </w:pPr>
      <w:r>
        <w:rPr>
          <w:color w:val="000000"/>
        </w:rPr>
        <w:t xml:space="preserve">4. Evidence Base</w:t>
      </w:r>
    </w:p>
    <w:p>
      <w:pPr>
        <w:pStyle w:val="FirstParagraph"/>
        <w:keepNext/>
        <w:widowControl/>
      </w:pPr>
      <w:r>
        <w:rPr>
          <w:b/>
          <w:bCs/>
        </w:rPr>
        <w:t xml:space="preserve">Search funnel.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6624"/>
        <w:gridCol w:w="3168"/>
      </w:tblGrid>
      <w:tr>
        <w:trPr>
          <w:tblHeader w:val="on"/>
          <w:tblHeader/>
        </w:trPr>
        <w:tc>
          <w:tcPr>
            <w:tcW w:type="dxa" w:w="6624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Stage</w:t>
            </w:r>
          </w:p>
        </w:tc>
        <w:tc>
          <w:tcPr>
            <w:tcW w:type="dxa" w:w="3168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662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Retrieved (6 adversarial query phrasings)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 xml:space="preserve">435 unique papers</w:t>
            </w:r>
          </w:p>
        </w:tc>
      </w:tr>
      <w:tr>
        <w:trPr>
          <w:cantSplit/>
        </w:trPr>
        <w:tc>
          <w:tcPr>
            <w:tcW w:type="dxa" w:w="6624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Returned for relevance screening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62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Kept on-topic by the relevance gate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624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Selected into the prior-art corpus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center"/>
            </w:pPr>
            <w:r>
              <w:rPr>
                <w:rFonts w:ascii="Arial" w:hAnsi="Arial"/>
                <w:color w:val="000000"/>
                <w:sz w:val="20"/>
              </w:rPr>
              <w:t xml:space="preserve">13</w:t>
            </w:r>
          </w:p>
        </w:tc>
      </w:tr>
    </w:tbl>
    <w:p>
      <w:pPr>
        <w:pStyle w:val="BodyText"/>
        <w:keepNext/>
        <w:widowControl/>
      </w:pPr>
      <w:r>
        <w:rPr>
          <w:b/>
          <w:bCs/>
        </w:rPr>
        <w:t xml:space="preserve">Prior-art classification of the 13-paper corpus.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5328"/>
        <w:gridCol w:w="4464"/>
      </w:tblGrid>
      <w:tr>
        <w:trPr>
          <w:tblHeader w:val="on"/>
          <w:tblHeader/>
        </w:trPr>
        <w:tc>
          <w:tcPr>
            <w:tcW w:type="dxa" w:w="5328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By evidence type</w:t>
            </w:r>
          </w:p>
        </w:tc>
        <w:tc>
          <w:tcPr>
            <w:tcW w:type="dxa" w:w="4464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By candidate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6 primary studies, 2 reviews, 1 survey, 1 perspective, 1 caution paper, 2 close analogues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9 bear on Candidate 1, 4 on Candidate 2</w:t>
            </w:r>
          </w:p>
        </w:tc>
      </w:tr>
    </w:tbl>
    <w:p>
      <w:pPr>
        <w:pStyle w:val="BodyText"/>
        <w:keepNext/>
        <w:widowControl/>
      </w:pPr>
      <w:r>
        <w:rPr>
          <w:b/>
          <w:bCs/>
        </w:rPr>
        <w:t xml:space="preserve">Closest prior work.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Candidate 1:</w:t>
      </w:r>
      <w:r>
        <w:t xml:space="preserve"> </w:t>
      </w:r>
      <w:r>
        <w:t xml:space="preserve">the field is broadly worked. Key items: a</w:t>
      </w:r>
      <w:r>
        <w:t xml:space="preserve"> </w:t>
      </w:r>
      <w:r>
        <w:t xml:space="preserve">hydrology-specific LLM benchmark dataset (Kizilkaya et al. 2025,</w:t>
      </w:r>
      <w:r>
        <w:t xml:space="preserve"> </w:t>
      </w:r>
      <w:r>
        <w:rPr>
          <w:i/>
          <w:iCs/>
        </w:rPr>
        <w:t xml:space="preserve">HydroLLM</w:t>
      </w:r>
      <w:r>
        <w:t xml:space="preserve"> </w:t>
      </w:r>
      <w:r>
        <w:t xml:space="preserve">— primary study); a bibliometric analysis of LLMs in</w:t>
      </w:r>
      <w:r>
        <w:t xml:space="preserve"> </w:t>
      </w:r>
      <w:r>
        <w:t xml:space="preserve">hydrology (Sajja et al. 2025 — review); a systematic review of AI in</w:t>
      </w:r>
      <w:r>
        <w:t xml:space="preserve"> </w:t>
      </w:r>
      <w:r>
        <w:t xml:space="preserve">water regulation (Wang et al. 2026 — review); LLMs fine-tuned for</w:t>
      </w:r>
      <w:r>
        <w:t xml:space="preserve"> </w:t>
      </w:r>
      <w:r>
        <w:t xml:space="preserve">environmental problems (Zhang et al. 2025 — primary study); and</w:t>
      </w:r>
      <w:r>
        <w:t xml:space="preserve"> </w:t>
      </w:r>
      <w:r>
        <w:t xml:space="preserve">conversational water-quality LLM agents (Ravindran et al. 2025 —</w:t>
      </w:r>
      <w:r>
        <w:t xml:space="preserve"> </w:t>
      </w:r>
      <w:r>
        <w:t xml:space="preserve">primary study). A benchmark together with a bibliometric study is a</w:t>
      </w:r>
      <w:r>
        <w:t xml:space="preserve"> </w:t>
      </w:r>
      <w:r>
        <w:t xml:space="preserve">signal of existing work in the broad area, not proof that all narrower</w:t>
      </w:r>
      <w:r>
        <w:t xml:space="preserve"> </w:t>
      </w:r>
      <w:r>
        <w:t xml:space="preserve">questions are occupied.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Candidate 2:</w:t>
      </w:r>
      <w:r>
        <w:t xml:space="preserve"> </w:t>
      </w:r>
      <w:r>
        <w:t xml:space="preserve">no matching calibrated-LLM-agent implementation for</w:t>
      </w:r>
      <w:r>
        <w:t xml:space="preserve"> </w:t>
      </w:r>
      <w:r>
        <w:t xml:space="preserve">socio-hydrology was identified in the selected 13-paper corpus. The closest in-domain work is Batista et al. 2025</w:t>
      </w:r>
      <w:r>
        <w:t xml:space="preserve"> </w:t>
      </w:r>
      <w:r>
        <w:t xml:space="preserve">(close analogue — an LLM that models</w:t>
      </w:r>
      <w:r>
        <w:t xml:space="preserve"> </w:t>
      </w:r>
      <w:r>
        <w:rPr>
          <w:i/>
          <w:iCs/>
        </w:rPr>
        <w:t xml:space="preserve">sentiment</w:t>
      </w:r>
      <w:r>
        <w:t xml:space="preserve"> </w:t>
      </w:r>
      <w:r>
        <w:t xml:space="preserve">for water governance,</w:t>
      </w:r>
      <w:r>
        <w:t xml:space="preserve"> </w:t>
      </w:r>
      <w:r>
        <w:t xml:space="preserve">not agent-based decision modelling). Schück (2026) is the dominant</w:t>
      </w:r>
      <w:r>
        <w:t xml:space="preserve"> </w:t>
      </w:r>
      <w:r>
        <w:t xml:space="preserve">caution paper. Braga et al. 2025 and Khaki et al. 2025 are out-of-domain</w:t>
      </w:r>
      <w:r>
        <w:t xml:space="preserve"> </w:t>
      </w:r>
      <w:r>
        <w:t xml:space="preserve">LLM human-behaviour analogues. The direct evidence in this corpus is thin; wider-literature coverage</w:t>
      </w:r>
      <w:r>
        <w:t xml:space="preserve"> </w:t>
      </w:r>
      <w:r>
        <w:t xml:space="preserve">and current openness remain unresolved.</w:t>
      </w:r>
    </w:p>
    <w:bookmarkEnd w:id="23"/>
    <w:bookmarkStart w:id="27" w:name="gate-by-gate-assessment"/>
    <w:p>
      <w:pPr>
        <w:pStyle w:val="Heading2"/>
        <w:widowControl/>
      </w:pPr>
      <w:r>
        <w:rPr>
          <w:color w:val="000000"/>
        </w:rPr>
        <w:t xml:space="preserve">5. Gate-by-Gate Assessment</w:t>
      </w:r>
    </w:p>
    <w:bookmarkStart w:id="24" w:name="gate-1-gap-still-open"/>
    <w:p>
      <w:pPr>
        <w:pStyle w:val="Heading3"/>
        <w:widowControl/>
      </w:pPr>
      <w:r>
        <w:rPr>
          <w:color w:val="000000"/>
        </w:rPr>
        <w:t xml:space="preserve">Gate 1 — Gap still open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Score.</w:t>
      </w:r>
      <w:r>
        <w:t xml:space="preserve"> </w:t>
      </w:r>
      <w:r>
        <w:t xml:space="preserve">Candidate 1: 1/5 (strongly disagree). Candidate 2: 3/5</w:t>
      </w:r>
      <w:r>
        <w:t xml:space="preserve"> </w:t>
      </w:r>
      <w:r>
        <w:t xml:space="preserve">(neutral).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Evidence.</w:t>
      </w:r>
      <w:r>
        <w:t xml:space="preserve"> </w:t>
      </w:r>
      <w:r>
        <w:t xml:space="preserve">For Candidate 1, the field has a benchmark, a systematic</w:t>
      </w:r>
      <w:r>
        <w:t xml:space="preserve"> </w:t>
      </w:r>
      <w:r>
        <w:t xml:space="preserve">review, a bibliometric analysis, and primary fine-tuning and</w:t>
      </w:r>
      <w:r>
        <w:t xml:space="preserve"> </w:t>
      </w:r>
      <w:r>
        <w:t xml:space="preserve">conversational-agent studies in the retrieved corpus, contradicting the</w:t>
      </w:r>
      <w:r>
        <w:t xml:space="preserve"> </w:t>
      </w:r>
      <w:r>
        <w:t xml:space="preserve">broad untried-area claim. For Candidate 2, no paper in the selected</w:t>
      </w:r>
      <w:r>
        <w:t xml:space="preserve"> </w:t>
      </w:r>
      <w:r>
        <w:t xml:space="preserve">corpus was identified as performing the calibrated-LLM-agent-for-socio-hydrology</w:t>
      </w:r>
      <w:r>
        <w:t xml:space="preserve"> </w:t>
      </w:r>
      <w:r>
        <w:t xml:space="preserve">task; only one close in-domain analogue (Batista 2025, sentiment) and a</w:t>
      </w:r>
      <w:r>
        <w:t xml:space="preserve"> </w:t>
      </w:r>
      <w:r>
        <w:t xml:space="preserve">caution paper (Schück 2026) bear on the slice.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Candidate 1 lacks support for its broad novelty</w:t>
      </w:r>
      <w:r>
        <w:t xml:space="preserve"> </w:t>
      </w:r>
      <w:r>
        <w:t xml:space="preserve">claim; whether a narrower task offers a contribution needs a separate</w:t>
      </w:r>
      <w:r>
        <w:t xml:space="preserve"> </w:t>
      </w:r>
      <w:r>
        <w:t xml:space="preserve">assessment. Candidate 2 remained a gap hypothesis after the historical</w:t>
      </w:r>
      <w:r>
        <w:t xml:space="preserve"> </w:t>
      </w:r>
      <w:r>
        <w:t xml:space="preserve">medium-confidence search, not a confirmed open gap.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Risk.</w:t>
      </w:r>
      <w:r>
        <w:t xml:space="preserve"> </w:t>
      </w:r>
      <w:r>
        <w:t xml:space="preserve">Semantic Scholar was rate-limited during the run, so a missed</w:t>
      </w:r>
      <w:r>
        <w:t xml:space="preserve"> </w:t>
      </w:r>
      <w:r>
        <w:t xml:space="preserve">paper for Candidate 2 remains possible. "Absent from this corpus" is</w:t>
      </w:r>
      <w:r>
        <w:t xml:space="preserve"> </w:t>
      </w:r>
      <w:r>
        <w:t xml:space="preserve">not proof of "open".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Action needed.</w:t>
      </w:r>
      <w:r>
        <w:t xml:space="preserve"> </w:t>
      </w:r>
      <w:r>
        <w:t xml:space="preserve">Re-run the search with a Semantic Scholar API key</w:t>
      </w:r>
      <w:r>
        <w:t xml:space="preserve"> </w:t>
      </w:r>
      <w:r>
        <w:t xml:space="preserve">enabled and reassess its coverage before making a current openness claim for</w:t>
      </w:r>
      <w:r>
        <w:t xml:space="preserve"> </w:t>
      </w:r>
      <w:r>
        <w:t xml:space="preserve">Candidate 2; adding a backend does not guarantee complete recall.</w:t>
      </w:r>
    </w:p>
    <w:bookmarkEnd w:id="24"/>
    <w:bookmarkStart w:id="25" w:name="gate-2-real-contribution"/>
    <w:p>
      <w:pPr>
        <w:pStyle w:val="Heading3"/>
        <w:widowControl/>
      </w:pPr>
      <w:r>
        <w:rPr>
          <w:color w:val="000000"/>
        </w:rPr>
        <w:t xml:space="preserve">Gate 2 — Real contribution</w:t>
      </w:r>
    </w:p>
    <w:p>
      <w:pPr>
        <w:pStyle w:val="Compact"/>
        <w:widowControl/>
        <w:numPr>
          <w:ilvl w:val="0"/>
          <w:numId w:val="1003"/>
        </w:numPr>
      </w:pPr>
      <w:r>
        <w:rPr>
          <w:b/>
          <w:bCs/>
        </w:rPr>
        <w:t xml:space="preserve">Score.</w:t>
      </w:r>
      <w:r>
        <w:t xml:space="preserve"> </w:t>
      </w:r>
      <w:r>
        <w:t xml:space="preserve">Candidate 1: not assessed (failed Gate 1). Candidate 2: 3/5</w:t>
      </w:r>
      <w:r>
        <w:t xml:space="preserve"> </w:t>
      </w:r>
      <w:r>
        <w:t xml:space="preserve">(neutral).</w:t>
      </w:r>
    </w:p>
    <w:p>
      <w:pPr>
        <w:pStyle w:val="Compact"/>
        <w:widowControl/>
        <w:numPr>
          <w:ilvl w:val="0"/>
          <w:numId w:val="1003"/>
        </w:numPr>
      </w:pPr>
      <w:r>
        <w:rPr>
          <w:b/>
          <w:bCs/>
        </w:rPr>
        <w:t xml:space="preserve">Evidence.</w:t>
      </w:r>
      <w:r>
        <w:t xml:space="preserve"> </w:t>
      </w:r>
      <w:r>
        <w:t xml:space="preserve">No abandoned attempt was identified in the bounded corpus. Schück (2026) is a</w:t>
      </w:r>
      <w:r>
        <w:t xml:space="preserve"> </w:t>
      </w:r>
      <w:r>
        <w:t xml:space="preserve">peer-reviewed perspective that engages the exact premise as a standing</w:t>
      </w:r>
      <w:r>
        <w:t xml:space="preserve"> </w:t>
      </w:r>
      <w:r>
        <w:t xml:space="preserve">caution. Batista (2025) is the closest in-domain prior work using an</w:t>
      </w:r>
      <w:r>
        <w:t xml:space="preserve"> </w:t>
      </w:r>
      <w:r>
        <w:t xml:space="preserve">LLM on a human signal for water governance, but it is sentiment</w:t>
      </w:r>
      <w:r>
        <w:t xml:space="preserve"> </w:t>
      </w:r>
      <w:r>
        <w:t xml:space="preserve">analysis, not agent-based decision modelling.</w:t>
      </w:r>
    </w:p>
    <w:p>
      <w:pPr>
        <w:pStyle w:val="Compact"/>
        <w:widowControl/>
        <w:numPr>
          <w:ilvl w:val="0"/>
          <w:numId w:val="1003"/>
        </w:numPr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Candidate 2 aims to contribute a</w:t>
      </w:r>
      <w:r>
        <w:t xml:space="preserve"> </w:t>
      </w:r>
      <w:r>
        <w:rPr>
          <w:b/>
          <w:bCs/>
        </w:rPr>
        <w:t xml:space="preserve">validated</w:t>
      </w:r>
      <w:r>
        <w:rPr>
          <w:b/>
          <w:bCs/>
        </w:rPr>
        <w:t xml:space="preserve"> </w:t>
      </w:r>
      <w:r>
        <w:rPr>
          <w:b/>
          <w:bCs/>
        </w:rPr>
        <w:t xml:space="preserve">method for representing household water-adaptation decisions with LLM</w:t>
      </w:r>
      <w:r>
        <w:rPr>
          <w:b/>
          <w:bCs/>
        </w:rP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— agents whose choices are calibrated to, and tested against,</w:t>
      </w:r>
      <w:r>
        <w:t xml:space="preserve"> </w:t>
      </w:r>
      <w:r>
        <w:t xml:space="preserve">observed adaptation behaviour, usable as the behavioural layer of a</w:t>
      </w:r>
      <w:r>
        <w:t xml:space="preserve"> </w:t>
      </w:r>
      <w:r>
        <w:t xml:space="preserve">socio-hydrology model. This is a proposed contribution, not an achieved</w:t>
      </w:r>
      <w:r>
        <w:t xml:space="preserve"> </w:t>
      </w:r>
      <w:r>
        <w:t xml:space="preserve">validation result. Its value would rest on the behavioural</w:t>
      </w:r>
      <w:r>
        <w:t xml:space="preserve"> </w:t>
      </w:r>
      <w:r>
        <w:t xml:space="preserve">representation rather than the broad application label "LLM agents in water". Novelty is borderline; the</w:t>
      </w:r>
      <w:r>
        <w:t xml:space="preserve"> </w:t>
      </w:r>
      <w:r>
        <w:t xml:space="preserve">validation requirement is what could lift the work from an extension</w:t>
      </w:r>
      <w:r>
        <w:t xml:space="preserve"> </w:t>
      </w:r>
      <w:r>
        <w:t xml:space="preserve">to a new capability.</w:t>
      </w:r>
    </w:p>
    <w:p>
      <w:pPr>
        <w:pStyle w:val="Compact"/>
        <w:widowControl/>
        <w:numPr>
          <w:ilvl w:val="0"/>
          <w:numId w:val="1003"/>
        </w:numPr>
      </w:pPr>
      <w:r>
        <w:rPr>
          <w:b/>
          <w:bCs/>
        </w:rPr>
        <w:t xml:space="preserve">Risk.</w:t>
      </w:r>
      <w:r>
        <w:t xml:space="preserve"> </w:t>
      </w:r>
      <w:r>
        <w:rPr>
          <w:b/>
          <w:bCs/>
        </w:rPr>
        <w:t xml:space="preserve">Construct validity</w:t>
      </w:r>
      <w:r>
        <w:t xml:space="preserve"> </w:t>
      </w:r>
      <w:r>
        <w:t xml:space="preserve">— whether LLM-generated behaviour</w:t>
      </w:r>
      <w:r>
        <w:t xml:space="preserve"> </w:t>
      </w:r>
      <w:r>
        <w:t xml:space="preserve">faithfully represents real human water decisions, or merely looks</w:t>
      </w:r>
      <w:r>
        <w:t xml:space="preserve"> </w:t>
      </w:r>
      <w:r>
        <w:t xml:space="preserve">plausible. This is precisely the risk Schück raises.</w:t>
      </w:r>
    </w:p>
    <w:p>
      <w:pPr>
        <w:pStyle w:val="Compact"/>
        <w:widowControl/>
        <w:numPr>
          <w:ilvl w:val="0"/>
          <w:numId w:val="1003"/>
        </w:numPr>
      </w:pPr>
      <w:r>
        <w:rPr>
          <w:b/>
          <w:bCs/>
        </w:rPr>
        <w:t xml:space="preserve">Action needed.</w:t>
      </w:r>
      <w:r>
        <w:t xml:space="preserve"> </w:t>
      </w:r>
      <w:r>
        <w:t xml:space="preserve">A minimum validation sketch the proposal must</w:t>
      </w:r>
      <w:r>
        <w:t xml:space="preserve"> </w:t>
      </w:r>
      <w:r>
        <w:t xml:space="preserve">satisfy: behaviour target = observed household adaptation decisions</w:t>
      </w:r>
      <w:r>
        <w:t xml:space="preserve"> </w:t>
      </w:r>
      <w:r>
        <w:t xml:space="preserve">(e.g. whether a household adopted a flood-protection measure or changed</w:t>
      </w:r>
      <w:r>
        <w:t xml:space="preserve"> </w:t>
      </w:r>
      <w:r>
        <w:t xml:space="preserve">water use under scarcity); baseline = a conventional discrete-choice</w:t>
      </w:r>
      <w:r>
        <w:t xml:space="preserve"> </w:t>
      </w:r>
      <w:r>
        <w:t xml:space="preserve">model or a rule-based ABM agent; held-out test = predict decisions on a</w:t>
      </w:r>
      <w:r>
        <w:t xml:space="preserve"> </w:t>
      </w:r>
      <w:r>
        <w:t xml:space="preserve">held-out household set the LLM agents were not tuned on; main failure</w:t>
      </w:r>
      <w:r>
        <w:t xml:space="preserve"> </w:t>
      </w:r>
      <w:r>
        <w:t xml:space="preserve">mode the study must survive = plausible-sounding but</w:t>
      </w:r>
      <w:r>
        <w:t xml:space="preserve"> </w:t>
      </w:r>
      <w:r>
        <w:t xml:space="preserve">population-unrepresentative behaviour.</w:t>
      </w:r>
    </w:p>
    <w:bookmarkEnd w:id="25"/>
    <w:bookmarkStart w:id="26" w:name="gate-3-feasible"/>
    <w:p>
      <w:pPr>
        <w:pStyle w:val="Heading3"/>
        <w:widowControl/>
      </w:pPr>
      <w:r>
        <w:rPr>
          <w:color w:val="000000"/>
        </w:rPr>
        <w:t xml:space="preserve">Gate 3 — Feasible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Score.</w:t>
      </w:r>
      <w:r>
        <w:t xml:space="preserve"> </w:t>
      </w:r>
      <w:r>
        <w:t xml:space="preserve">Candidate 1: not assessed (failed Gate 1). Candidate 2: 3/5</w:t>
      </w:r>
      <w:r>
        <w:t xml:space="preserve"> </w:t>
      </w:r>
      <w:r>
        <w:t xml:space="preserve">(neutral).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Historical feasibility assumptions.</w:t>
      </w:r>
      <w:r>
        <w:t xml:space="preserve"> </w:t>
      </w:r>
      <w:r>
        <w:t xml:space="preserve">Household water-use and adaptation behaviour data were described as</w:t>
      </w:r>
      <w:r>
        <w:t xml:space="preserve"> </w:t>
      </w:r>
      <w:r>
        <w:t xml:space="preserve">partly public, hydrological data as largely public, and LLM API access as</w:t>
      </w:r>
      <w:r>
        <w:t xml:space="preserve"> </w:t>
      </w:r>
      <w:r>
        <w:t xml:space="preserve">available at a metered cost. Suitability, access, and current costs were</w:t>
      </w:r>
      <w:r>
        <w:t xml:space="preserve"> </w:t>
      </w:r>
      <w:r>
        <w:t xml:space="preserve">not verified by this dossier. Baseline models (discrete-choice /</w:t>
      </w:r>
      <w:r>
        <w:t xml:space="preserve"> </w:t>
      </w:r>
      <w:r>
        <w:t xml:space="preserve">rule-based ABM) are standard. Household behaviour data carries privacy</w:t>
      </w:r>
      <w:r>
        <w:t xml:space="preserve"> </w:t>
      </w:r>
      <w:r>
        <w:t xml:space="preserve">and consent constraints — a targeted survey needs ethics approval.</w:t>
      </w:r>
      <w:r>
        <w:t xml:space="preserve"> </w:t>
      </w:r>
      <w:r>
        <w:t xml:space="preserve">Reproducibility is a concern: LLM outputs depend on an external API</w:t>
      </w:r>
      <w:r>
        <w:t xml:space="preserve"> </w:t>
      </w:r>
      <w:r>
        <w:t xml:space="preserve">model. A thesis-sized project fits one region, a few hundred</w:t>
      </w:r>
      <w:r>
        <w:t xml:space="preserve"> </w:t>
      </w:r>
      <w:r>
        <w:t xml:space="preserve">households' behaviour data, one socio-hydrology coupling, and roughly</w:t>
      </w:r>
      <w:r>
        <w:t xml:space="preserve"> </w:t>
      </w:r>
      <w:r>
        <w:t xml:space="preserve">12–18 months of work; the original LLM API cost estimate was low hundreds</w:t>
      </w:r>
      <w:r>
        <w:t xml:space="preserve"> </w:t>
      </w:r>
      <w:r>
        <w:t xml:space="preserve">of USD. These scope, timeline, and cost estimates are historical planning</w:t>
      </w:r>
      <w:r>
        <w:t xml:space="preserve"> </w:t>
      </w:r>
      <w:r>
        <w:t xml:space="preserve">assumptions, not demonstrated feasibility or a current quote.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binding constraint</w:t>
      </w:r>
      <w:r>
        <w:t xml:space="preserve"> </w:t>
      </w:r>
      <w:r>
        <w:t xml:space="preserve">is the</w:t>
      </w:r>
      <w:r>
        <w:t xml:space="preserve"> </w:t>
      </w:r>
      <w:r>
        <w:t xml:space="preserve">behavioural-validation dataset. The historical assessment supported</w:t>
      </w:r>
      <w:r>
        <w:t xml:space="preserve"> </w:t>
      </w:r>
      <w:r>
        <w:t xml:space="preserve">developing a proposal, conditional on suitable data and validation.</w:t>
      </w:r>
      <w:r>
        <w:t xml:space="preserve"> </w:t>
      </w:r>
      <w:r>
        <w:t xml:space="preserve">Dissertation feasibility remains unverified: dataset reuse, primary</w:t>
      </w:r>
      <w:r>
        <w:t xml:space="preserve"> </w:t>
      </w:r>
      <w:r>
        <w:t xml:space="preserve">collection, ethics requirements, resources, and timing need explicit</w:t>
      </w:r>
      <w:r>
        <w:t xml:space="preserve"> </w:t>
      </w:r>
      <w:r>
        <w:t xml:space="preserve">checks. If primary collection is required, it could dominate the first</w:t>
      </w:r>
      <w:r>
        <w:t xml:space="preserve"> </w:t>
      </w:r>
      <w:r>
        <w:t xml:space="preserve">year under the original planning estimate.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Risk.</w:t>
      </w:r>
      <w:r>
        <w:t xml:space="preserve"> </w:t>
      </w:r>
      <w:r>
        <w:t xml:space="preserve">Privacy and consent constraints on household-behaviour data,</w:t>
      </w:r>
      <w:r>
        <w:t xml:space="preserve"> </w:t>
      </w:r>
      <w:r>
        <w:t xml:space="preserve">plus reproducibility — LLM agent outputs depend on an external API</w:t>
      </w:r>
      <w:r>
        <w:t xml:space="preserve"> </w:t>
      </w:r>
      <w:r>
        <w:t xml:space="preserve">model that can change or be retired.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Action needed.</w:t>
      </w:r>
      <w:r>
        <w:t xml:space="preserve"> </w:t>
      </w:r>
      <w:r>
        <w:t xml:space="preserve">Identify a reusable observed-behaviour dataset (one</w:t>
      </w:r>
      <w:r>
        <w:t xml:space="preserve"> </w:t>
      </w:r>
      <w:r>
        <w:t xml:space="preserve">lead worth checking first: Jiang et al. 2026 build socio-hydrological</w:t>
      </w:r>
      <w:r>
        <w:t xml:space="preserve"> </w:t>
      </w:r>
      <w:r>
        <w:t xml:space="preserve">models of the North China Plain with policy scenarios). Failing that,</w:t>
      </w:r>
      <w:r>
        <w:t xml:space="preserve"> </w:t>
      </w:r>
      <w:r>
        <w:t xml:space="preserve">plan a primary-collection schedule with ethics approval that fits the</w:t>
      </w:r>
      <w:r>
        <w:t xml:space="preserve"> </w:t>
      </w:r>
      <w:r>
        <w:t xml:space="preserve">project timeline. Pin LLM model versions and archive prompts and</w:t>
      </w:r>
      <w:r>
        <w:t xml:space="preserve"> </w:t>
      </w:r>
      <w:r>
        <w:t xml:space="preserve">outputs for reproducibility.</w:t>
      </w:r>
    </w:p>
    <w:bookmarkEnd w:id="26"/>
    <w:bookmarkEnd w:id="27"/>
    <w:bookmarkStart w:id="28" w:name="risks-and-upgrade-kill-tests"/>
    <w:p>
      <w:pPr>
        <w:pStyle w:val="Heading2"/>
        <w:widowControl/>
      </w:pPr>
      <w:r>
        <w:rPr>
          <w:color w:val="000000"/>
        </w:rPr>
        <w:t xml:space="preserve">6. Risks and Upgrade / Kill Tests</w:t>
      </w:r>
    </w:p>
    <w:p>
      <w:pPr>
        <w:pStyle w:val="FirstParagraph"/>
        <w:keepNext/>
        <w:widowControl/>
      </w:pPr>
      <w:r>
        <w:rPr>
          <w:b/>
          <w:bCs/>
        </w:rPr>
        <w:t xml:space="preserve">Named risks.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Construct-validity risk</w:t>
      </w:r>
      <w:r>
        <w:t xml:space="preserve"> </w:t>
      </w:r>
      <w:r>
        <w:t xml:space="preserve">— whether LLM-generated behaviour faithfully</w:t>
      </w:r>
      <w:r>
        <w:t xml:space="preserve"> </w:t>
      </w:r>
      <w:r>
        <w:t xml:space="preserve">represents real human water decisions, or only looks plausible; this is</w:t>
      </w:r>
      <w:r>
        <w:t xml:space="preserve"> </w:t>
      </w:r>
      <w:r>
        <w:t xml:space="preserve">the risk Schück (2026) raises against the very approach Candidate 2</w:t>
      </w:r>
      <w:r>
        <w:t xml:space="preserve"> </w:t>
      </w:r>
      <w:r>
        <w:t xml:space="preserve">takes.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Dataset-constraint risk</w:t>
      </w:r>
      <w:r>
        <w:t xml:space="preserve"> </w:t>
      </w:r>
      <w:r>
        <w:t xml:space="preserve">— the behavioural-validation dataset is the</w:t>
      </w:r>
      <w:r>
        <w:t xml:space="preserve"> </w:t>
      </w:r>
      <w:r>
        <w:t xml:space="preserve">binding feasibility constraint for Candidate 2; if no reusable dataset</w:t>
      </w:r>
      <w:r>
        <w:t xml:space="preserve"> </w:t>
      </w:r>
      <w:r>
        <w:t xml:space="preserve">is found, primary collection dominates the timeline.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Novelty risk</w:t>
      </w:r>
      <w:r>
        <w:t xml:space="preserve"> </w:t>
      </w:r>
      <w:r>
        <w:t xml:space="preserve">— Candidate 2 sits at the borderline between a new</w:t>
      </w:r>
      <w:r>
        <w:t xml:space="preserve"> </w:t>
      </w:r>
      <w:r>
        <w:t xml:space="preserve">capability and an extension; Batista 2025 is a weaker realised form</w:t>
      </w:r>
      <w:r>
        <w:t xml:space="preserve"> </w:t>
      </w:r>
      <w:r>
        <w:t xml:space="preserve">(LLM sentiment for water governance) that the project must out-distance.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Reproducibility risk</w:t>
      </w:r>
      <w:r>
        <w:t xml:space="preserve"> </w:t>
      </w:r>
      <w:r>
        <w:t xml:space="preserve">— LLM outputs depend on an external API model;</w:t>
      </w:r>
      <w:r>
        <w:t xml:space="preserve"> </w:t>
      </w:r>
      <w:r>
        <w:t xml:space="preserve">the design must pin model versions and archive prompts and outputs so</w:t>
      </w:r>
      <w:r>
        <w:t xml:space="preserve"> </w:t>
      </w:r>
      <w:r>
        <w:t xml:space="preserve">the work can be re-run when the API model changes or is retired.</w:t>
      </w:r>
    </w:p>
    <w:p>
      <w:pPr>
        <w:pStyle w:val="FirstParagraph"/>
        <w:widowControl/>
      </w:pPr>
      <w:r>
        <w:rPr>
          <w:b/>
          <w:bCs/>
        </w:rPr>
        <w:t xml:space="preserve">Upgrade / kill test — Candidate 2: LLM agents for human behaviour in</w:t>
      </w:r>
      <w:r>
        <w:rPr>
          <w:b/>
          <w:bCs/>
        </w:rPr>
        <w:t xml:space="preserve"> </w:t>
      </w:r>
      <w:r>
        <w:rPr>
          <w:b/>
          <w:bCs/>
        </w:rPr>
        <w:t xml:space="preserve">socio-hydrology.</w:t>
      </w:r>
      <w:r>
        <w:t xml:space="preserve"> </w:t>
      </w:r>
      <w:r>
        <w:t xml:space="preserve">The historical conditional recommendation depended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checks. Their completion is not recorded; even if</w:t>
      </w:r>
      <w:r>
        <w:t xml:space="preserve"> </w:t>
      </w:r>
      <w:r>
        <w:t xml:space="preserve">they are satisfied, topic selection requires an explicit researcher</w:t>
      </w:r>
      <w:r>
        <w:t xml:space="preserve"> </w:t>
      </w:r>
      <w:r>
        <w:t xml:space="preserve">decision.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A broader search with Semantic Scholar enabled, documented coverage,</w:t>
      </w:r>
      <w:r>
        <w:t xml:space="preserve"> </w:t>
      </w:r>
      <w:r>
        <w:t xml:space="preserve">and updated screening identifies whether prior work already builds</w:t>
      </w:r>
      <w:r>
        <w:t xml:space="preserve"> </w:t>
      </w:r>
      <w:r>
        <w:t xml:space="preserve">calibrated LLM agents for socio-hydrology. A no-match result supports</w:t>
      </w:r>
      <w:r>
        <w:t xml:space="preserve"> </w:t>
      </w:r>
      <w:r>
        <w:t xml:space="preserve">only a bounded absence claim, not proof of an open gap.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A pilot produces a held-out validation result in which the LLM agents</w:t>
      </w:r>
      <w:r>
        <w:t xml:space="preserve"> </w:t>
      </w:r>
      <w:r>
        <w:t xml:space="preserve">predict observed household-adaptation decisions at least as well as a</w:t>
      </w:r>
      <w:r>
        <w:t xml:space="preserve"> </w:t>
      </w:r>
      <w:r>
        <w:t xml:space="preserve">discrete-choice or rule-based ABM baseline on the same held-out set.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A reusable observed-behaviour dataset is identified, or a</w:t>
      </w:r>
      <w:r>
        <w:t xml:space="preserve"> </w:t>
      </w:r>
      <w:r>
        <w:t xml:space="preserve">primary-collection schedule with ethics approval that fits the project</w:t>
      </w:r>
      <w:r>
        <w:t xml:space="preserve"> </w:t>
      </w:r>
      <w:r>
        <w:t xml:space="preserve">timeline is in hand.</w:t>
      </w:r>
    </w:p>
    <w:p>
      <w:pPr>
        <w:pStyle w:val="FirstParagraph"/>
        <w:widowControl/>
      </w:pPr>
      <w:r>
        <w:t xml:space="preserve">The historical kill conditions were an already-matched contribution,</w:t>
      </w:r>
      <w:r>
        <w:t xml:space="preserve"> </w:t>
      </w:r>
      <w:r>
        <w:t xml:space="preserve">failed calibration or trivial-baseline performance, or no obtainable</w:t>
      </w:r>
      <w:r>
        <w:t xml:space="preserve"> </w:t>
      </w:r>
      <w:r>
        <w:t xml:space="preserve">behavioural dataset within scope. If such evidence emerges, the researcher</w:t>
      </w:r>
      <w:r>
        <w:t xml:space="preserve"> </w:t>
      </w:r>
      <w:r>
        <w:t xml:space="preserve">should stop or narrow the candidate. A related paper alone is insufficient</w:t>
      </w:r>
      <w:r>
        <w:t xml:space="preserve"> </w:t>
      </w:r>
      <w:r>
        <w:t xml:space="preserve">to rule out a distinct contribution; compare its actual task and evidence.</w:t>
      </w:r>
    </w:p>
    <w:p>
      <w:pPr>
        <w:pStyle w:val="BodyText"/>
        <w:widowControl/>
      </w:pPr>
      <w:r>
        <w:rPr>
          <w:b/>
          <w:bCs/>
        </w:rPr>
        <w:t xml:space="preserve">Salvage path — Candidate 1: LLM-driven water resources management.</w:t>
      </w:r>
      <w:r>
        <w:t xml:space="preserve"> </w:t>
      </w:r>
      <w:r>
        <w:t xml:space="preserve">The broad untried-area claim is contradicted by this corpus, but a</w:t>
      </w:r>
      <w:r>
        <w:t xml:space="preserve"> </w:t>
      </w:r>
      <w:r>
        <w:t xml:space="preserve">specific under-served sub-problem may remain — for example a particular water-management task the existing</w:t>
      </w:r>
      <w:r>
        <w:t xml:space="preserve"> </w:t>
      </w:r>
      <w:r>
        <w:t xml:space="preserve">benchmark and review literature does not cover. Recovering it needs a</w:t>
      </w:r>
      <w:r>
        <w:t xml:space="preserve"> </w:t>
      </w:r>
      <w:r>
        <w:t xml:space="preserve">fresh, narrower search aimed at that sub-problem, not the broad area.</w:t>
      </w:r>
    </w:p>
    <w:bookmarkEnd w:id="28"/>
    <w:bookmarkStart w:id="29" w:name="recommended-next-steps"/>
    <w:p>
      <w:pPr>
        <w:pStyle w:val="Heading2"/>
        <w:widowControl/>
      </w:pPr>
      <w:r>
        <w:rPr>
          <w:color w:val="000000"/>
        </w:rPr>
        <w:t xml:space="preserve">7. Recommended Next Steps</w:t>
      </w:r>
    </w:p>
    <w:p>
      <w:pPr>
        <w:pStyle w:val="FirstParagraph"/>
        <w:widowControl/>
      </w:pPr>
      <w:r>
        <w:t xml:space="preserve">The historical screening recommendation was not to pursue the broad</w:t>
      </w:r>
      <w:r>
        <w:t xml:space="preserve"> </w:t>
      </w:r>
      <w:r>
        <w:t xml:space="preserve">"LLM-driven water resources management" topic as stated. The retrieved</w:t>
      </w:r>
      <w:r>
        <w:t xml:space="preserve"> </w:t>
      </w:r>
      <w:r>
        <w:t xml:space="preserve">benchmark, systematic review, and bibliometric analysis undermine the</w:t>
      </w:r>
      <w:r>
        <w:t xml:space="preserve"> </w:t>
      </w:r>
      <w:r>
        <w:t xml:space="preserve">claim that the broad application is untried. They do not establish that</w:t>
      </w:r>
      <w:r>
        <w:t xml:space="preserve"> </w:t>
      </w:r>
      <w:r>
        <w:t xml:space="preserve">every narrower contribution is unavailable. If a specific water-management sub-problem under-served by</w:t>
      </w:r>
      <w:r>
        <w:t xml:space="preserve"> </w:t>
      </w:r>
      <w:r>
        <w:t xml:space="preserve">the existing literature is of interest, the next move there is a fresh,</w:t>
      </w:r>
      <w:r>
        <w:t xml:space="preserve"> </w:t>
      </w:r>
      <w:r>
        <w:t xml:space="preserve">narrower search aimed at that sub-problem.</w:t>
      </w:r>
    </w:p>
    <w:p>
      <w:pPr>
        <w:pStyle w:val="BodyText"/>
        <w:widowControl/>
      </w:pPr>
      <w:r>
        <w:t xml:space="preserve">The narrower "LLM agents for human behaviour in socio-hydrology" topic</w:t>
      </w:r>
      <w:r>
        <w:t xml:space="preserve"> </w:t>
      </w:r>
      <w:r>
        <w:t xml:space="preserve">was retained as a conditional hypothesis in the historical run. Its</w:t>
      </w:r>
      <w:r>
        <w:t xml:space="preserve"> </w:t>
      </w:r>
      <w:r>
        <w:t xml:space="preserve">current status is unknown. Before commitment, three actions are</w:t>
      </w:r>
      <w:r>
        <w:t xml:space="preserve"> </w:t>
      </w:r>
      <w:r>
        <w:t xml:space="preserve">required: re-run the literature search with Semantic Scholar enabled and</w:t>
      </w:r>
      <w:r>
        <w:t xml:space="preserve"> </w:t>
      </w:r>
      <w:r>
        <w:t xml:space="preserve">documented coverage to reassess the gap; read Schück (2026) and design the validation around its</w:t>
      </w:r>
      <w:r>
        <w:t xml:space="preserve"> </w:t>
      </w:r>
      <w:r>
        <w:t xml:space="preserve">construct-validity caution — at minimum a held-out comparison against a</w:t>
      </w:r>
      <w:r>
        <w:t xml:space="preserve"> </w:t>
      </w:r>
      <w:r>
        <w:t xml:space="preserve">discrete-choice or rule-based ABM baseline on real household-adaptation</w:t>
      </w:r>
      <w:r>
        <w:t xml:space="preserve"> </w:t>
      </w:r>
      <w:r>
        <w:t xml:space="preserve">decisions; and either identify a reusable behavioural dataset or plan a</w:t>
      </w:r>
      <w:r>
        <w:t xml:space="preserve"> </w:t>
      </w:r>
      <w:r>
        <w:t xml:space="preserve">primary-collection schedule with ethics approval that fits the project</w:t>
      </w:r>
      <w:r>
        <w:t xml:space="preserve"> </w:t>
      </w:r>
      <w:r>
        <w:t xml:space="preserve">timeline. The researcher must then explicitly record whether to select,</w:t>
      </w:r>
      <w:r>
        <w:t xml:space="preserve"> </w:t>
      </w:r>
      <w:r>
        <w:t xml:space="preserve">revise, defer, or reject the candidate and why. This dossier records no</w:t>
      </w:r>
      <w:r>
        <w:t xml:space="preserve"> </w:t>
      </w:r>
      <w:r>
        <w:t xml:space="preserve">current human selection.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9"/>
    <w:bookmarkStart w:id="30" w:name="Xa46d46c14e256acb523b6b02778c2c696ff3794"/>
    <w:p>
      <w:pPr>
        <w:pStyle w:val="Heading2"/>
        <w:widowControl/>
      </w:pPr>
      <w:r>
        <w:rPr>
          <w:color w:val="000000"/>
        </w:rPr>
        <w:t xml:space="preserve">Appendix A. Search and Screening Protocol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189"/>
        <w:gridCol w:w="7603"/>
      </w:tblGrid>
      <w:tr>
        <w:trPr>
          <w:tblHeader w:val="on"/>
          <w:tblHeader/>
        </w:trPr>
        <w:tc>
          <w:tcPr>
            <w:tcW w:type="dxa" w:w="2189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W w:type="dxa" w:w="7603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Search date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2026-05-22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Databases searched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crossref, OpenAlex, arXiv. Semantic Scholar was rate-limited (HTTP 429) and contributed nothing this run.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Query families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Six adversarial phrasings of "LLM applications in water resources / management / hydrology", generated by</w:t>
            </w:r>
            <w:r>
              <w:rPr>
                <w:rFonts w:ascii="Arial" w:hAnsi="Arial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Arial" w:hAnsi="Arial"/>
                <w:color w:val="000000"/>
                <w:sz w:val="20"/>
              </w:rPr>
              <w:t xml:space="preserve">search --adversarial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Number retrieved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435 unique papers (after backend-level deduplication)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Deduplication rule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DOI-based primary, arXiv ID fallback; near-duplicate titles consolidated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Inclusion criteria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Papers genuinely about LLMs applied to water resources,</w:t>
            </w:r>
            <w:r>
              <w:rPr>
                <w:rFonts w:ascii="Arial" w:hAnsi="Arial"/>
                <w:color w:val="000000"/>
                <w:sz w:val="20"/>
              </w:rPr>
              <w:t xml:space="preserve"> </w:t>
            </w:r>
            <w:r>
              <w:rPr>
                <w:rFonts w:ascii="Arial" w:hAnsi="Arial"/>
                <w:i/>
                <w:iCs/>
                <w:color w:val="000000"/>
                <w:sz w:val="20"/>
              </w:rPr>
              <w:t xml:space="preserve">or</w:t>
            </w:r>
            <w:r>
              <w:rPr>
                <w:rFonts w:ascii="Arial" w:hAnsi="Arial"/>
                <w:color w:val="000000"/>
                <w:sz w:val="20"/>
              </w:rPr>
              <w:t xml:space="preserve"> </w:t>
            </w:r>
            <w:r>
              <w:rPr>
                <w:rFonts w:ascii="Arial" w:hAnsi="Arial"/>
                <w:color w:val="000000"/>
                <w:sz w:val="20"/>
              </w:rPr>
              <w:t xml:space="preserve">close behavioural analogues bearing on Candidate 2 (LLM agents simulating human decisions). 13 entered the prior-art corpus.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Exclusion criteria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Tangential AI-in-water papers not about LLMs; duplicates; out-of-domain LLM work without a behavioural-analogue role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Screening process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Automated relevance gate (BM25 fit-check,</w:t>
            </w:r>
            <w:r>
              <w:rPr>
                <w:rFonts w:ascii="Arial" w:hAnsi="Arial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Arial" w:hAnsi="Arial"/>
                <w:color w:val="000000"/>
                <w:sz w:val="20"/>
              </w:rPr>
              <w:t xml:space="preserve">search --screen</w:t>
            </w:r>
            <w:r>
              <w:rPr>
                <w:rFonts w:ascii="Arial" w:hAnsi="Arial"/>
                <w:color w:val="000000"/>
                <w:sz w:val="20"/>
              </w:rPr>
              <w:t xml:space="preserve">) returned 25 on-topic of the top-screened set; agent judgement selected 13 for the corpus and assigned the evidence-type tags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Known limitations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Semantic Scholar unavailable; some 2026 conference abstracts have empty crossref records; corpus is skewed to 2024–2026 (expected for an LLM-applications topic)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Recall confidence</w:t>
            </w:r>
          </w:p>
        </w:tc>
        <w:tc>
          <w:tcPr>
            <w:tcW w:type="dxa" w:w="7603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20"/>
              </w:rPr>
              <w:t xml:space="preserve">Medium. For a tighter verdict, re-run the search with</w:t>
            </w:r>
            <w:r>
              <w:rPr>
                <w:rFonts w:ascii="Arial" w:hAnsi="Arial"/>
                <w:color w:val="000000"/>
                <w:sz w:val="20"/>
              </w:rPr>
              <w:t xml:space="preserve"> </w:t>
            </w:r>
            <w:r>
              <w:rPr>
                <w:rStyle w:val="VerbatimChar"/>
                <w:rFonts w:ascii="Arial" w:hAnsi="Arial"/>
                <w:color w:val="000000"/>
                <w:sz w:val="20"/>
              </w:rPr>
              <w:t xml:space="preserve">SEMANTIC_SCHOLAR_API_KEY</w:t>
            </w:r>
            <w:r>
              <w:rPr>
                <w:rFonts w:ascii="Arial" w:hAnsi="Arial"/>
                <w:color w:val="000000"/>
                <w:sz w:val="20"/>
              </w:rPr>
              <w:t xml:space="preserve"> </w:t>
            </w:r>
            <w:r>
              <w:rPr>
                <w:rFonts w:ascii="Arial" w:hAnsi="Arial"/>
                <w:color w:val="000000"/>
                <w:sz w:val="20"/>
              </w:rPr>
              <w:t xml:space="preserve">set.</w:t>
            </w:r>
          </w:p>
        </w:tc>
      </w:tr>
    </w:tbl>
    <w:bookmarkEnd w:id="30"/>
    <w:bookmarkStart w:id="31" w:name="appendix-b.-deliverable-file-list"/>
    <w:p>
      <w:pPr>
        <w:pStyle w:val="Heading2"/>
        <w:widowControl/>
      </w:pPr>
      <w:r>
        <w:rPr>
          <w:color w:val="000000"/>
        </w:rPr>
        <w:t xml:space="preserve">Appendix B. Deliverable File List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664"/>
        <w:gridCol w:w="2952"/>
        <w:gridCol w:w="4176"/>
      </w:tblGrid>
      <w:tr>
        <w:trPr>
          <w:tblHeader w:val="on"/>
          <w:tblHeader/>
        </w:trPr>
        <w:tc>
          <w:tcPr>
            <w:tcW w:type="dxa" w:w="2664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File</w:t>
            </w:r>
          </w:p>
        </w:tc>
        <w:tc>
          <w:tcPr>
            <w:tcW w:type="dxa" w:w="2952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What it is</w:t>
            </w:r>
          </w:p>
        </w:tc>
        <w:tc>
          <w:tcPr>
            <w:tcW w:type="dxa" w:w="4176"/>
            <w:vAlign w:val="center"/>
            <w:shd w:fill="203B5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What it gives you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Style w:val="VerbatimChar"/>
                <w:rFonts w:ascii="Arial" w:hAnsi="Arial"/>
                <w:color w:val="000000"/>
                <w:sz w:val="19"/>
              </w:rPr>
              <w:t xml:space="preserve">topic_dossier.md</w:t>
            </w:r>
            <w:r>
              <w:rPr>
                <w:rFonts w:ascii="Arial" w:hAnsi="Arial"/>
                <w:color w:val="000000"/>
                <w:sz w:val="19"/>
              </w:rPr>
              <w:t xml:space="preserve"> </w:t>
            </w:r>
            <w:r>
              <w:rPr>
                <w:rFonts w:ascii="Arial" w:hAnsi="Arial"/>
                <w:color w:val="000000"/>
                <w:sz w:val="19"/>
              </w:rPr>
              <w:t xml:space="preserve">/</w:t>
            </w:r>
            <w:r>
              <w:rPr>
                <w:rFonts w:ascii="Arial" w:hAnsi="Arial"/>
                <w:color w:val="000000"/>
                <w:sz w:val="19"/>
              </w:rPr>
              <w:t xml:space="preserve"> </w:t>
            </w:r>
            <w:r>
              <w:rPr>
                <w:rStyle w:val="VerbatimChar"/>
                <w:rFonts w:ascii="Arial" w:hAnsi="Arial"/>
                <w:color w:val="000000"/>
                <w:sz w:val="19"/>
              </w:rPr>
              <w:t xml:space="preserve">.docx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This document — the topic-decision memo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Historical screening labels, bounded evidence, and unresolved checks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Style w:val="VerbatimChar"/>
                <w:rFonts w:ascii="Arial" w:hAnsi="Arial"/>
                <w:color w:val="000000"/>
                <w:sz w:val="19"/>
              </w:rPr>
              <w:t xml:space="preserve">topic_dossier.bib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The reference list, as BibTeX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Every cited paper with a resolvable DOI — supports independent inspection of the cited evidence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Style w:val="VerbatimChar"/>
                <w:rFonts w:ascii="Arial" w:hAnsi="Arial"/>
                <w:color w:val="000000"/>
                <w:sz w:val="19"/>
              </w:rPr>
              <w:t xml:space="preserve">literature_matrix.md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The paper-by-paper comparison table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How each retrieved paper compares — method, claim, evidence type, limitation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Style w:val="VerbatimChar"/>
                <w:rFonts w:ascii="Arial" w:hAnsi="Arial"/>
                <w:color w:val="000000"/>
                <w:sz w:val="19"/>
              </w:rPr>
              <w:t xml:space="preserve">topic_dossier.gaps.yml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Machine-readable export</w:t>
            </w:r>
          </w:p>
        </w:tc>
        <w:tc>
          <w:tcPr>
            <w:tcW w:type="dxa" w:w="4176"/>
            <w:vAlign w:val="center"/>
            <w:shd w:fill="F3F6F9"/>
          </w:tcPr>
          <w:p>
            <w:pPr>
              <w:pStyle w:val="Compact"/>
              <w:spacing w:after="20" w:before="20" w:line="250" w:lineRule="auto"/>
              <w:jc w:val="left"/>
            </w:pPr>
            <w:r>
              <w:rPr>
                <w:rFonts w:ascii="Arial" w:hAnsi="Arial"/>
                <w:color w:val="000000"/>
                <w:sz w:val="19"/>
              </w:rPr>
              <w:t xml:space="preserve">Structured data for a downstream tool or a later pass; not needed for reading</w:t>
            </w:r>
          </w:p>
        </w:tc>
      </w:tr>
    </w:tbl>
    <w:p>
      <w:pPr>
        <w:pStyle w:val="SourceCode"/>
        <w:widowControl/>
        <w:spacing w:after="0" w:line="240" w:lineRule="exact"/>
      </w:pPr>
      <w:r>
        <w:rPr>
          <w:rStyle w:val="VerbatimChar"/>
          <w:rFonts w:ascii="Noto Sans Mono CJK TC" w:hAnsi="Noto Sans Mono CJK TC"/>
          <w:sz w:val="18"/>
        </w:rPr>
        <w:t xml:space="preserve">en/</w:t>
      </w:r>
      <w:r>
        <w:rPr>
          <w:rFonts w:ascii="Noto Sans Mono CJK TC" w:hAnsi="Noto Sans Mono CJK TC"/>
          <w:sz w:val="18"/>
        </w:rPr>
        <w:br/>
      </w:r>
      <w:r>
        <w:rPr>
          <w:rStyle w:val="VerbatimChar"/>
          <w:rFonts w:ascii="Noto Sans Mono CJK TC" w:hAnsi="Noto Sans Mono CJK TC"/>
          <w:sz w:val="18"/>
        </w:rPr>
        <w:t xml:space="preserve">├── topic_dossier.md / .docx</w:t>
      </w:r>
      <w:r>
        <w:rPr>
          <w:rFonts w:ascii="Noto Sans Mono CJK TC" w:hAnsi="Noto Sans Mono CJK TC"/>
          <w:sz w:val="18"/>
        </w:rPr>
        <w:br/>
      </w:r>
      <w:r>
        <w:rPr>
          <w:rStyle w:val="VerbatimChar"/>
          <w:rFonts w:ascii="Noto Sans Mono CJK TC" w:hAnsi="Noto Sans Mono CJK TC"/>
          <w:sz w:val="18"/>
        </w:rPr>
        <w:t xml:space="preserve">├── topic_dossier.bib</w:t>
      </w:r>
      <w:r>
        <w:rPr>
          <w:rFonts w:ascii="Noto Sans Mono CJK TC" w:hAnsi="Noto Sans Mono CJK TC"/>
          <w:sz w:val="18"/>
        </w:rPr>
        <w:br/>
      </w:r>
      <w:r>
        <w:rPr>
          <w:rStyle w:val="VerbatimChar"/>
          <w:rFonts w:ascii="Noto Sans Mono CJK TC" w:hAnsi="Noto Sans Mono CJK TC"/>
          <w:sz w:val="18"/>
        </w:rPr>
        <w:t xml:space="preserve">├── literature_matrix.md</w:t>
      </w:r>
      <w:r>
        <w:rPr>
          <w:rFonts w:ascii="Noto Sans Mono CJK TC" w:hAnsi="Noto Sans Mono CJK TC"/>
          <w:sz w:val="18"/>
        </w:rPr>
        <w:br/>
      </w:r>
      <w:r>
        <w:rPr>
          <w:rStyle w:val="VerbatimChar"/>
          <w:rFonts w:ascii="Noto Sans Mono CJK TC" w:hAnsi="Noto Sans Mono CJK TC"/>
          <w:sz w:val="18"/>
        </w:rPr>
        <w:t xml:space="preserve">└── topic_dossier.gaps.yml</w:t>
      </w:r>
    </w:p>
    <w:p>
      <w:pPr>
        <w:pStyle w:val="FirstParagraph"/>
        <w:widowControl/>
      </w:pPr>
      <w:r>
        <w:t xml:space="preserve">A Traditional Chinese mirror of this deliverable is in the sibling</w:t>
      </w:r>
      <w:r>
        <w:t xml:space="preserve"> </w:t>
      </w:r>
      <w:r>
        <w:rPr>
          <w:rStyle w:val="VerbatimChar"/>
        </w:rPr>
        <w:t xml:space="preserve">zh-TW/</w:t>
      </w:r>
      <w:r>
        <w:t xml:space="preserve"> </w:t>
      </w:r>
      <w:r>
        <w:t xml:space="preserve">folder.</w:t>
      </w:r>
    </w:p>
    <w:bookmarkEnd w:id="31"/>
    <w:bookmarkEnd w:id="32"/>
    <w:sectPr>
      <w:pgSz w:w="12240" w:h="15840"/>
      <w:pgMar w:left="1224" w:right="1224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7" w:lineRule="auto"/>
    </w:pPr>
    <w:rPr>
      <w:rFonts w:ascii="Arial" w:hAnsi="Arial" w:eastAsia="Noto Sans CJK TC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57" w:lineRule="auto"/>
    </w:pPr>
    <w:rPr>
      <w:rFonts w:ascii="Arial" w:hAnsi="Arial" w:eastAsia="Noto Sans CJK T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57" w:lineRule="auto"/>
    </w:pPr>
    <w:rPr>
      <w:rFonts w:ascii="Arial" w:hAnsi="Arial" w:eastAsia="Noto Sans CJK TC"/>
      <w:sz w:val="21"/>
    </w:rPr>
  </w:style>
  <w:style w:customStyle="1" w:styleId="Compact" w:type="paragraph">
    <w:name w:val="Compact"/>
    <w:basedOn w:val="BodyText"/>
    <w:qFormat/>
    <w:pPr>
      <w:spacing w:after="120" w:before="36" w:line="257" w:lineRule="auto"/>
    </w:pPr>
    <w:rPr>
      <w:rFonts w:ascii="Arial" w:hAnsi="Arial" w:eastAsia="Noto Sans CJK T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40" w:before="240" w:line="257" w:lineRule="auto"/>
      <w:jc w:val="center"/>
    </w:pPr>
    <w:rPr>
      <w:rFonts w:asciiTheme="majorHAnsi" w:cstheme="majorBidi" w:eastAsiaTheme="majorEastAsia" w:hAnsiTheme="majorHAnsi" w:ascii="Arial" w:hAnsi="Arial" w:eastAsia="Noto Sans CJK TC"/>
      <w:b/>
      <w:bCs/>
      <w:color w:val="000000"/>
      <w:sz w:val="3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 w:line="257" w:lineRule="auto"/>
      <w:jc w:val="center"/>
    </w:pPr>
    <w:rPr>
      <w:rFonts w:ascii="Arial" w:hAnsi="Arial" w:eastAsia="Noto Sans CJK TC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20" w:line="257" w:lineRule="auto"/>
      <w:jc w:val="center"/>
    </w:pPr>
    <w:rPr>
      <w:rFonts w:ascii="Arial" w:hAnsi="Arial" w:eastAsia="Noto Sans CJK TC"/>
      <w:sz w:val="21"/>
    </w:rPr>
  </w:style>
  <w:style w:styleId="Date" w:type="paragraph">
    <w:name w:val="Date"/>
    <w:next w:val="BodyText"/>
    <w:qFormat/>
    <w:pPr>
      <w:keepNext/>
      <w:keepLines/>
      <w:spacing w:after="120" w:line="257" w:lineRule="auto"/>
      <w:jc w:val="center"/>
    </w:pPr>
    <w:rPr>
      <w:rFonts w:ascii="Arial" w:hAnsi="Arial" w:eastAsia="Noto Sans CJK TC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300" w:line="257" w:lineRule="auto"/>
      <w:jc w:val="center"/>
    </w:pPr>
    <w:rPr>
      <w:rFonts w:ascii="Arial" w:hAnsi="Arial" w:eastAsia="Noto Sans CJK TC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257" w:lineRule="auto"/>
    </w:pPr>
    <w:rPr>
      <w:rFonts w:ascii="Arial" w:hAnsi="Arial" w:eastAsia="Noto Sans CJK TC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20" w:line="257" w:lineRule="auto"/>
    </w:pPr>
    <w:rPr>
      <w:rFonts w:ascii="Arial" w:hAnsi="Arial" w:eastAsia="Noto Sans CJK TC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40" w:line="257" w:lineRule="auto"/>
      <w:outlineLvl w:val="0"/>
    </w:pPr>
    <w:rPr>
      <w:rFonts w:asciiTheme="majorHAnsi" w:cstheme="majorBidi" w:eastAsiaTheme="majorEastAsia" w:hAnsiTheme="majorHAnsi" w:ascii="Arial" w:hAnsi="Arial" w:eastAsia="Noto Sans CJK TC"/>
      <w:b/>
      <w:bCs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40" w:line="257" w:lineRule="auto"/>
      <w:outlineLvl w:val="1"/>
    </w:pPr>
    <w:rPr>
      <w:rFonts w:asciiTheme="majorHAnsi" w:cstheme="majorBidi" w:eastAsiaTheme="majorEastAsia" w:hAnsiTheme="majorHAnsi" w:ascii="Arial" w:hAnsi="Arial" w:eastAsia="Noto Sans CJK TC"/>
      <w:b/>
      <w:bCs/>
      <w:color w:val="000000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40" w:line="257" w:lineRule="auto"/>
      <w:outlineLvl w:val="2"/>
    </w:pPr>
    <w:rPr>
      <w:rFonts w:asciiTheme="majorHAnsi" w:cstheme="majorBidi" w:eastAsiaTheme="majorEastAsia" w:hAnsiTheme="majorHAnsi" w:ascii="Arial" w:hAnsi="Arial" w:eastAsia="Noto Sans CJK TC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 w:line="257" w:lineRule="auto"/>
      <w:outlineLvl w:val="3"/>
    </w:pPr>
    <w:rPr>
      <w:rFonts w:asciiTheme="majorHAnsi" w:cstheme="majorBidi" w:eastAsiaTheme="majorEastAsia" w:hAnsiTheme="majorHAnsi" w:ascii="Arial" w:hAnsi="Arial" w:eastAsia="Noto Sans CJK TC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00" w:line="257" w:lineRule="auto"/>
      <w:outlineLvl w:val="4"/>
    </w:pPr>
    <w:rPr>
      <w:rFonts w:asciiTheme="majorHAnsi" w:cstheme="majorBidi" w:eastAsiaTheme="majorEastAsia" w:hAnsiTheme="majorHAnsi" w:ascii="Arial" w:hAnsi="Arial" w:eastAsia="Noto Sans CJK TC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00" w:line="257" w:lineRule="auto"/>
      <w:outlineLvl w:val="5"/>
    </w:pPr>
    <w:rPr>
      <w:rFonts w:asciiTheme="majorHAnsi" w:cstheme="majorBidi" w:eastAsiaTheme="majorEastAsia" w:hAnsiTheme="majorHAnsi" w:ascii="Arial" w:hAnsi="Arial" w:eastAsia="Noto Sans CJK TC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00" w:line="257" w:lineRule="auto"/>
      <w:outlineLvl w:val="6"/>
    </w:pPr>
    <w:rPr>
      <w:rFonts w:asciiTheme="majorHAnsi" w:cstheme="majorBidi" w:eastAsiaTheme="majorEastAsia" w:hAnsiTheme="majorHAnsi" w:ascii="Arial" w:hAnsi="Arial" w:eastAsia="Noto Sans CJK TC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00" w:line="257" w:lineRule="auto"/>
      <w:outlineLvl w:val="7"/>
    </w:pPr>
    <w:rPr>
      <w:rFonts w:asciiTheme="majorHAnsi" w:cstheme="majorBidi" w:eastAsiaTheme="majorEastAsia" w:hAnsiTheme="majorHAnsi" w:ascii="Arial" w:hAnsi="Arial" w:eastAsia="Noto Sans CJK TC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00" w:line="257" w:lineRule="auto"/>
      <w:outlineLvl w:val="8"/>
    </w:pPr>
    <w:rPr>
      <w:rFonts w:asciiTheme="majorHAnsi" w:cstheme="majorBidi" w:eastAsiaTheme="majorEastAsia" w:hAnsiTheme="majorHAnsi" w:ascii="Arial" w:hAnsi="Arial" w:eastAsia="Noto Sans CJK TC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00" w:line="257" w:lineRule="auto"/>
      <w:ind w:firstLine="0" w:left="480" w:right="480"/>
    </w:pPr>
    <w:rPr>
      <w:rFonts w:ascii="Arial" w:hAnsi="Arial" w:eastAsia="Noto Sans CJK T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line="257" w:lineRule="auto"/>
    </w:pPr>
    <w:rPr>
      <w:rFonts w:ascii="Arial" w:hAnsi="Arial" w:eastAsia="Noto Sans CJK TC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20" w:before="100" w:line="257" w:lineRule="auto"/>
      <w:ind w:firstLine="0" w:left="480" w:right="480"/>
    </w:pPr>
    <w:rPr>
      <w:rFonts w:ascii="Arial" w:hAnsi="Arial" w:eastAsia="Noto Sans CJK TC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line="257" w:lineRule="auto"/>
    </w:pPr>
    <w:rPr>
      <w:rFonts w:ascii="Arial" w:hAnsi="Arial" w:eastAsia="Noto Sans CJK TC"/>
      <w:b/>
      <w:sz w:val="21"/>
    </w:rPr>
  </w:style>
  <w:style w:customStyle="1" w:styleId="Definition" w:type="paragraph">
    <w:name w:val="Definition"/>
    <w:basedOn w:val="Normal"/>
    <w:pPr>
      <w:spacing w:after="120" w:line="257" w:lineRule="auto"/>
    </w:pPr>
    <w:rPr>
      <w:rFonts w:ascii="Arial" w:hAnsi="Arial" w:eastAsia="Noto Sans CJK TC"/>
      <w:sz w:val="21"/>
    </w:rPr>
  </w:style>
  <w:style w:styleId="Caption" w:type="paragraph">
    <w:name w:val="Caption"/>
    <w:basedOn w:val="Normal"/>
    <w:link w:val="BodyTextChar"/>
    <w:pPr>
      <w:spacing w:after="120" w:before="0" w:line="257" w:lineRule="auto"/>
    </w:pPr>
    <w:rPr>
      <w:rFonts w:ascii="Arial" w:hAnsi="Arial" w:eastAsia="Noto Sans CJK TC"/>
      <w:i/>
      <w:sz w:val="21"/>
    </w:rPr>
  </w:style>
  <w:style w:customStyle="1" w:styleId="TableCaption" w:type="paragraph">
    <w:name w:val="Table Caption"/>
    <w:basedOn w:val="Caption"/>
    <w:pPr>
      <w:keepNext/>
      <w:spacing w:after="120" w:line="257" w:lineRule="auto"/>
    </w:pPr>
    <w:rPr>
      <w:rFonts w:ascii="Arial" w:hAnsi="Arial" w:eastAsia="Noto Sans CJK TC"/>
      <w:sz w:val="21"/>
    </w:rPr>
  </w:style>
  <w:style w:customStyle="1" w:styleId="ImageCaption" w:type="paragraph">
    <w:name w:val="Image Caption"/>
    <w:basedOn w:val="Caption"/>
    <w:pPr>
      <w:spacing w:after="120" w:line="257" w:lineRule="auto"/>
    </w:pPr>
    <w:rPr>
      <w:rFonts w:ascii="Arial" w:hAnsi="Arial" w:eastAsia="Noto Sans CJK TC"/>
      <w:sz w:val="21"/>
    </w:rPr>
  </w:style>
  <w:style w:customStyle="1" w:styleId="Figure" w:type="paragraph">
    <w:name w:val="Figure"/>
    <w:basedOn w:val="Normal"/>
    <w:pPr>
      <w:spacing w:after="120" w:line="257" w:lineRule="auto"/>
    </w:pPr>
    <w:rPr>
      <w:rFonts w:ascii="Arial" w:hAnsi="Arial" w:eastAsia="Noto Sans CJK TC"/>
      <w:sz w:val="21"/>
    </w:rPr>
  </w:style>
  <w:style w:customStyle="1" w:styleId="CaptionedFigure" w:type="paragraph">
    <w:name w:val="Captioned Figure"/>
    <w:basedOn w:val="Figure"/>
    <w:pPr>
      <w:keepNext/>
      <w:spacing w:after="120" w:line="257" w:lineRule="auto"/>
    </w:pPr>
    <w:rPr>
      <w:rFonts w:ascii="Arial" w:hAnsi="Arial" w:eastAsia="Noto Sans CJK TC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7" w:lineRule="auto" w:after="120"/>
      <w:outlineLvl w:val="9"/>
    </w:pPr>
    <w:rPr>
      <w:rFonts w:asciiTheme="majorHAnsi" w:cstheme="majorBidi" w:eastAsiaTheme="majorEastAsia" w:hAnsiTheme="majorHAnsi" w:ascii="Arial" w:hAnsi="Arial" w:eastAsia="Noto Sans CJK TC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20" w:line="257" w:lineRule="auto"/>
    </w:pPr>
    <w:rPr>
      <w:rFonts w:ascii="Noto Sans Mono CJK TC" w:hAnsi="Noto Sans Mono CJK TC" w:eastAsia="Noto Sans CJK TC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2026-05-23T01:00:13Z</dcterms:created>
  <dcterms:modified xsi:type="dcterms:W3CDTF">2026-05-23T01:00:13Z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