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can produce state-inconsistent and behaviorally incoherent decisions. We present WAGF (Water Agent Governance Framework), an open-source governance framework that enforces domain-specific physical and institutional constraints while preserving emergent behavioral diversity. WAGF integrates three components: (1) a rule-based validator chain, (2) a tiered cognitive memory system, and (3) a priority context builder. We report two complementary diagnostics: rationality deviation (R_R) and feasibility contradiction (R_H), and quantify diversity with Effective Behavioral Entropy (EBE). In flood adaptation experiments (100 agents, 10 years, three Gemma 3 sizes), governance reduces coherence deviations while maintaining higher effective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Without governance, these agents may produce infeasible or behaviorally inconsistent choices. We developed WAGF, a governance framework that checks each decision against identity and physical constraints, then applies coherence checks, before execution. This process improves behavioral rationality while preserving diverse, realistic choices.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Main table columns emphasize R_R and diversity retention (H_norm, EHE). R_H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R_H remains near zero across most runs. The dominant residual channel is coherence deviation (R_R),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coherence deviation (R_R) under governance with retained effective diversity (EHE). Raw entropy alone can be misleading when feasibility and coherence channels are not reported jointly; therefore we report R_R, R_H,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t>Table 1 (continued). Detailed model-level values are provided in the companion table sources (`Table1_main_metrics_v8.csv` for main results and SI tables for feasibility diagnostics).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are interpreted under the updated metric split: R_R as the primary behavioral-rationalization channel, with R_H as a strict secondary safety diagnostic.</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del w:id="0" w:author="Claude" w:date="2026-02-09T16:29:40Z" w16du:dateUtc="2026-02-09T16:29:40Z">
        <w:r w:rsidDel="78D810E4">
          <w:delTex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delText>
        </w:r>
      </w:del>
      <w:ins w:id="1" w:author="Claude" w:date="2026-02-09T16:29:40Z" w16du:dateUtc="2026-02-09T16:29:40Z">
        <w:r w:rsidR="78D810E4">
          <w:t xml:space="preserve">Over the full 42-year production run (78 agents, 3,276 agent-year decisions), governance outcomes remain active throughout multi-decadal simulation: 37.7% of agent-year decisions are approved on first attempt, 22.4% succeed after retry-mediated correction, and 39.8% are ultimately rejected (with maintain_demand executed as fallback). Importantly, retry-mediated recovery indicates that governance interventions function as corrective mechanisms preserving agent execution continuity, not purely terminal filters. Over the 42-year horizon, aggregate demand averages 5.87 MAF/yr (1.00× CRSS baseline), with 88% of years within the ±10% reference corridor (Figure 3a). A cold-start transient (Y1–5) reflects zero-memory initialization; steady-state metrics (Y6–42: CoV 5.3%) exclude this period. Intervention counts are reported as governance workload indicators; because one decision can induce multiple retry attempts, retry statistics are not interpreted as counts of unique violating agents.</w:t>
        </w:r>
      </w:ins>
    </w:p>
    <w:p w:rsidR="BE341ECD" w:rsidRDefault="BE341ECD" w:rsidP="BE341ECD" w14:paraId="0FD43808" w14:textId="47E802C6">
      <w:pPr>
        <w:spacing w:after="120" w:line="480" w:lineRule="auto"/>
        <w:ind w:firstLine="360"/>
        <w:jc w:val="both"/>
        <w:rPr/>
      </w:pPr>
      <w:del w:id="2" w:author="Claude" w:date="2026-02-09T16:29:40Z" w16du:dateUtc="2026-02-09T16:29:40Z">
        <w:r w:rsidDel="78D810E4">
          <w:delTex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delText>
        </w:r>
      </w:del>
      <w:ins w:id="3" w:author="Claude" w:date="2026-02-09T16:29:40Z" w16du:dateUtc="2026-02-09T16:29:40Z">
        <w:r w:rsidR="78D810E4">
          <w:t xml:space="preserve">Rule-frequency diagnostics reveal that intervention burden concentrates on hydrologically meaningful constraints. The most frequently triggered rule is demand_ceiling_stabilizer (n = 1,420), followed by high_threat_high_cope_no_increase (n = 1,180) and curtailment_awareness (n = 499),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proposed-action diversity yields H_norm = 0.74 (normalized Shannon entropy over five skills); governance compression reduces executed diversity to H_norm = 0.39, reflecting governance-induced constraint narrowing under chronic shortage. This entropy reduction quantifies how governance rules narrow the feasible action space while preserving the behavioral repertoire at the proposal stage.</w:t>
        </w:r>
      </w:ins>
    </w:p>
    <w:p w:rsidR="BE341ECD" w:rsidRDefault="BE341ECD" w:rsidP="BE341ECD" w14:paraId="2A00E618" w14:textId="02C3F51C">
      <w:pPr>
        <w:spacing w:after="120" w:line="480" w:lineRule="auto"/>
        <w:ind w:firstLine="360"/>
        <w:jc w:val="both"/>
        <w:rPr/>
      </w:pPr>
      <w:del w:id="6" w:author="Claude" w:date="2026-02-09T16:29:40Z" w16du:dateUtc="2026-02-09T16:29:40Z">
        <w:r w:rsidDel="78D810E4">
          <w:delTex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delText>
        </w:r>
      </w:del>
      <w:ins w:id="7" w:author="Claude" w:date="2026-02-09T16:29:40Z" w16du:dateUtc="2026-02-09T16:29:40Z">
        <w:r w:rsidR="78D810E4">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 (Figure 3).</w:t>
        </w:r>
      </w:ins>
    </w:p>
    <w:p w14:paraId="0051CFE8" w14:textId="77777777" w:rsidR="CF7DCF98" w:rsidRDefault="CF7DCF98" w:rsidP="CF7DCF98">
      <w:pPr>
        <w:spacing w:after="120" w:line="480" w:lineRule="auto"/>
        <w:ind w:firstLine="360"/>
        <w:jc w:val="both"/>
      </w:pPr>
    </w:p>
    <w:p w14:paraId="5DA1A643" w14:textId="77777777" w:rsidR="CF7DCF98" w:rsidRDefault="CF7DCF98" w:rsidP="CF7DCF98">
      <w:pPr>
        <w:spacing w:after="120" w:line="480" w:lineRule="auto"/>
        <w:ind w:firstLine="360"/>
        <w:jc w:val="both"/>
      </w:pP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R_H is near zero in current runs, while coherence deviations (R_R) remain materially higher in ungoverned settings</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