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line="480"/>
        <w:jc w:val="center"/>
      </w:pPr>
      <w:r>
        <w:rPr>
          <w:rFonts w:ascii="Times New Roman" w:cs="Times New Roman" w:eastAsia="Times New Roman" w:hAnsi="Times New Roman"/>
          <w:b/>
          <w:bCs/>
          <w:sz w:val="28"/>
          <w:szCs w:val="28"/>
        </w:rPr>
        <w:t xml:space="preserve">LLM-Governed Multi-Agent Simulation of Heterogeneous Flood Adaptation: Memory, Institutional Feedback, and Social Information in the Passaic River Basin</w:t>
      </w:r>
    </w:p>
    <w:p>
      <w:pPr>
        <w:spacing w:after="0" w:line="480"/>
      </w:pPr>
    </w:p>
    <w:p>
      <w:pPr>
        <w:spacing w:after="100" w:line="360"/>
        <w:jc w:val="center"/>
      </w:pPr>
      <w:r>
        <w:rPr>
          <w:rFonts w:ascii="Times New Roman" w:cs="Times New Roman" w:eastAsia="Times New Roman" w:hAnsi="Times New Roman"/>
          <w:sz w:val="24"/>
          <w:szCs w:val="24"/>
        </w:rPr>
        <w:t xml:space="preserve">Wenyu Wang</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Paolo Gardoni</w:t>
      </w:r>
      <w:r>
        <w:rPr>
          <w:rFonts w:ascii="Times New Roman" w:cs="Times New Roman" w:eastAsia="Times New Roman" w:hAnsi="Times New Roman"/>
          <w:sz w:val="24"/>
          <w:szCs w:val="24"/>
          <w:vertAlign w:val="superscript"/>
        </w:rPr>
        <w:t xml:space="preserve">1</w:t>
      </w:r>
    </w:p>
    <w:p>
      <w:pPr>
        <w:spacing w:after="0" w:line="480"/>
      </w:pPr>
    </w:p>
    <w:p>
      <w:pPr>
        <w:spacing w:after="100" w:line="360"/>
        <w:jc w:val="center"/>
      </w:pPr>
      <w:r>
        <w:rPr>
          <w:rFonts w:ascii="Times New Roman" w:cs="Times New Roman" w:eastAsia="Times New Roman" w:hAnsi="Times New Roman"/>
          <w:i/>
          <w:iCs/>
          <w:sz w:val="22"/>
          <w:szCs w:val="22"/>
        </w:rPr>
        <w:t xml:space="preserve">1. Department of Civil and Environmental Engineering, Lehigh University, Bethlehem, PA 18015, USA</w:t>
      </w:r>
    </w:p>
    <w:p>
      <w:pPr>
        <w:spacing w:after="0" w:line="480"/>
      </w:pPr>
    </w:p>
    <w:p>
      <w:pPr>
        <w:spacing w:after="200" w:line="360"/>
        <w:jc w:val="center"/>
      </w:pPr>
      <w:r>
        <w:rPr>
          <w:rFonts w:ascii="Times New Roman" w:cs="Times New Roman" w:eastAsia="Times New Roman" w:hAnsi="Times New Roman"/>
          <w:sz w:val="22"/>
          <w:szCs w:val="22"/>
        </w:rPr>
        <w:t xml:space="preserve">Corresponding author: Wenyu Wang (wew224@lehigh.edu)</w:t>
      </w:r>
    </w:p>
    <w:p>
      <w:pPr>
        <w:spacing w:after="0" w:line="480"/>
      </w:pPr>
    </w:p>
    <w:p>
      <w:pPr>
        <w:spacing w:after="100"/>
        <w:jc w:val="center"/>
      </w:pPr>
      <w:r>
        <w:rPr>
          <w:rFonts w:ascii="Times New Roman" w:cs="Times New Roman" w:eastAsia="Times New Roman" w:hAnsi="Times New Roman"/>
          <w:i/>
          <w:iCs/>
          <w:sz w:val="22"/>
          <w:szCs w:val="22"/>
        </w:rPr>
        <w:t xml:space="preserve">Prepared for submission to Water Resources Research</w:t>
      </w:r>
    </w:p>
    <w:p>
      <w:pPr>
        <w:spacing w:after="200"/>
        <w:jc w:val="center"/>
      </w:pPr>
      <w:r>
        <w:rPr>
          <w:rFonts w:ascii="Times New Roman" w:cs="Times New Roman" w:eastAsia="Times New Roman" w:hAnsi="Times New Roman"/>
          <w:i/>
          <w:iCs/>
          <w:sz w:val="22"/>
          <w:szCs w:val="22"/>
        </w:rPr>
        <w:t xml:space="preserve">Draft: February 2026</w:t>
      </w:r>
    </w:p>
    <w:p>
      <w:r>
        <w:br w:type="page"/>
      </w:r>
    </w:p>
    <w:p>
      <w:pPr>
        <w:spacing w:after="200" w:line="480"/>
      </w:pPr>
      <w:r>
        <w:rPr>
          <w:rFonts w:ascii="Times New Roman" w:cs="Times New Roman" w:eastAsia="Times New Roman" w:hAnsi="Times New Roman"/>
          <w:b/>
          <w:bCs/>
          <w:sz w:val="24"/>
          <w:szCs w:val="24"/>
        </w:rPr>
        <w:t xml:space="preserve">Key Points</w:t>
      </w:r>
    </w:p>
    <w:p>
      <w:pPr>
        <w:spacing w:after="0" w:line="480"/>
      </w:pPr>
      <w:r>
        <w:rPr>
          <w:rFonts w:ascii="Times New Roman" w:cs="Times New Roman" w:eastAsia="Times New Roman" w:hAnsi="Times New Roman"/>
          <w:sz w:val="24"/>
          <w:szCs w:val="24"/>
        </w:rPr>
        <w:t xml:space="preserve">1. Memory-mediated threat perception generates within-group adaptation heterogeneity invisible to parametric agent-based models.</w:t>
      </w:r>
    </w:p>
    <w:p>
      <w:pPr>
        <w:spacing w:after="0" w:line="480"/>
      </w:pPr>
      <w:r>
        <w:rPr>
          <w:rFonts w:ascii="Times New Roman" w:cs="Times New Roman" w:eastAsia="Times New Roman" w:hAnsi="Times New Roman"/>
          <w:sz w:val="24"/>
          <w:szCs w:val="24"/>
        </w:rPr>
        <w:t xml:space="preserve">2. Endogenous government and insurance feedbacks produce subsidy-lag and premium-spiral patterns that widen protection inequality.</w:t>
      </w:r>
    </w:p>
    <w:p>
      <w:pPr>
        <w:spacing w:after="0" w:line="480"/>
      </w:pPr>
      <w:r>
        <w:rPr>
          <w:rFonts w:ascii="Times New Roman" w:cs="Times New Roman" w:eastAsia="Times New Roman" w:hAnsi="Times New Roman"/>
          <w:sz w:val="24"/>
          <w:szCs w:val="24"/>
        </w:rPr>
        <w:t xml:space="preserve">3. Gossip with reasoning propagation drives stronger adaptation clustering than observation or media channels alone.</w:t>
      </w:r>
    </w:p>
    <w:p>
      <w:pPr>
        <w:spacing w:after="0" w:line="480"/>
      </w:pPr>
    </w:p>
    <w:p>
      <w:pPr>
        <w:spacing w:after="200" w:line="480"/>
      </w:pPr>
      <w:r>
        <w:rPr>
          <w:rFonts w:ascii="Times New Roman" w:cs="Times New Roman" w:eastAsia="Times New Roman" w:hAnsi="Times New Roman"/>
          <w:b/>
          <w:bCs/>
          <w:sz w:val="24"/>
          <w:szCs w:val="24"/>
        </w:rPr>
        <w:t xml:space="preserve">Abstract</w:t>
      </w:r>
    </w:p>
    <w:p>
      <w:pPr>
        <w:spacing w:after="0" w:line="480"/>
      </w:pPr>
      <w:r>
        <w:rPr>
          <w:rFonts w:ascii="Times New Roman" w:cs="Times New Roman" w:eastAsia="Times New Roman" w:hAnsi="Times New Roman"/>
          <w:sz w:val="24"/>
          <w:szCs w:val="24"/>
        </w:rPr>
        <w:t xml:space="preserve">Agent-based models (ABMs) have become essential tools for understanding coupled human-flood systems, yet conventional implementations parameterize threat perception decay uniformly within demographic groups, impose exogenous institutional policies, and reduce social influence to aggregate scalars. These simplifications mask critical within-group heterogeneity and preclude emergent institutional dynamics. Here we present a large language model (LLM)-governed multi-agent simulation of flood adaptation in the Passaic River Basin, New Jersey, using the SAGE (Structured Agent Governance Engine) framework. One hundred household agents, initialized from real survey data and balanced across marginalized/non-marginalized and owner/renter categories, develop unique adaptation trajectories over a 13-year simulation driven by historical flood hazard data. Threat perception emerges from individual memory retrieval rather than parametric equations, enabling within-group divergence absent from traditional models. Two endogenous institutional agents—a state government administering buyout subsidies and a federal insurance program adjusting premiums—create coupled feedback loops with household decisions. Four social information channels (direct observation, gossip with reasoning propagation, news media, and social media) shape adaptation diffusion across a spatial social network. A five-metric calibration and validation protocol ensures behavioral coherence, external validity, and cognitive reliability. Results reveal that (1) personal flood memory is a stronger predictor of adaptation timing than demographic group membership, (2) institutional feedbacks produce a subsidy-lag pattern that widens protection inequality despite targeted policies, and (3) gossip carrying decision reasoning drives stronger spatial adaptation clustering than any other information channel. These findings demonstrate that governed LLM agents can capture cognitive realism inaccessible to equation-based approaches, with direct implications for flood risk communication and adaptation policy design.</w:t>
      </w:r>
    </w:p>
    <w:p>
      <w:pPr>
        <w:spacing w:after="0" w:line="480"/>
      </w:pPr>
    </w:p>
    <w:p>
      <w:pPr>
        <w:spacing w:after="200" w:line="480"/>
      </w:pPr>
      <w:r>
        <w:rPr>
          <w:rFonts w:ascii="Times New Roman" w:cs="Times New Roman" w:eastAsia="Times New Roman" w:hAnsi="Times New Roman"/>
          <w:b/>
          <w:bCs/>
          <w:sz w:val="24"/>
          <w:szCs w:val="24"/>
        </w:rPr>
        <w:t xml:space="preserve">Plain Language Summary</w:t>
      </w:r>
    </w:p>
    <w:p>
      <w:pPr>
        <w:spacing w:after="0" w:line="480"/>
      </w:pPr>
      <w:r>
        <w:rPr>
          <w:rFonts w:ascii="Times New Roman" w:cs="Times New Roman" w:eastAsia="Times New Roman" w:hAnsi="Times New Roman"/>
          <w:sz w:val="24"/>
          <w:szCs w:val="24"/>
        </w:rPr>
        <w:t xml:space="preserve">When a neighborhood floods repeatedly, not everyone responds the same way—even people with similar backgrounds. Some raise their homes, others buy insurance, and many do nothing. Traditional computer models of flood adaptation treat similar people identically and cannot explain this diversity. We built a new kind of simulation where each virtual household has its own memory of past floods and communicates with neighbors, just as real people do. We used artificial intelligence language models to let each household reason about whether to protect itself, while government and insurance programs adjust their policies in response to what happens in the community. Testing this approach on 100 households in the Passaic River Basin, New Jersey, over 13 years of real flood data, we found three things: personal flood experience matters more than demographics for predicting who adapts; government subsidies arrive too late to prevent growing inequality between disadvantaged and other communities; and hearing a neighbor explain why they elevated their home is more persuasive than simply seeing it happen. These results can help officials design better-targeted flood adaptation programs.</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1 Introduction</w:t>
      </w:r>
    </w:p>
    <w:p>
      <w:pPr>
        <w:spacing w:after="0" w:line="480"/>
      </w:pPr>
      <w:r>
        <w:rPr>
          <w:rFonts w:ascii="Times New Roman" w:cs="Times New Roman" w:eastAsia="Times New Roman" w:hAnsi="Times New Roman"/>
          <w:sz w:val="24"/>
          <w:szCs w:val="24"/>
        </w:rPr>
        <w:t xml:space="preserve">Flood losses in the United States have risen steadily over the past half-century, driven by the compound effects of climate change, urbanization, and aging infrastructure (Wing et al., 2022; Bates et al., 2023). The Passaic River Basin (PRB) in northern New Jersey exemplifies this challenge: home to over 1.8 million residents across socioeconomically diverse communities, the basin has experienced repeated major flooding—from Tropical Storm Floyd (1999) through Hurricane Ida (2021)—that has disproportionately affected marginalized populations (Chakraborty et al., 2014). Despite decades of federal and state investment in structural and non-structural mitigation, household-level adaptation remains uneven, with substantial gaps between communities that share similar exposure but differ in socioeconomic resources and flood experience (Choi et al., 2024). Understanding why some households adapt while others do not—and how institutional policies interact with individual decisions—is essential for designing effective flood risk reduction strategies.</w:t>
      </w:r>
    </w:p>
    <w:p>
      <w:pPr>
        <w:spacing w:after="0" w:line="480"/>
        <w:ind w:firstLine="720"/>
      </w:pPr>
      <w:r>
        <w:rPr>
          <w:rFonts w:ascii="Times New Roman" w:cs="Times New Roman" w:eastAsia="Times New Roman" w:hAnsi="Times New Roman"/>
          <w:sz w:val="24"/>
          <w:szCs w:val="24"/>
        </w:rPr>
        <w:t xml:space="preserve">Agent-based models (ABMs) have emerged as powerful tools for simulating these coupled human-flood dynamics. Grounded in Protection Motivation Theory (PMT; Rogers, 1983; Grothmann &amp; Reusswig, 2006), recent ABMs represent households as agents that appraise flood threats and evaluate coping options before deciding whether to adopt protective actions such as purchasing insurance, elevating structures, or participating in buyout programs (Haer et al., 2017; de Ruig et al., 2022). These models have advanced our understanding of aggregate adaptation trajectories and policy sensitivity. However, they share three fundamental limitations that constrain their explanatory power.</w:t>
      </w:r>
    </w:p>
    <w:p>
      <w:pPr>
        <w:spacing w:after="0" w:line="480"/>
        <w:ind w:firstLine="720"/>
      </w:pPr>
      <w:r>
        <w:rPr>
          <w:rFonts w:ascii="Times New Roman" w:cs="Times New Roman" w:eastAsia="Times New Roman" w:hAnsi="Times New Roman"/>
          <w:sz w:val="24"/>
          <w:szCs w:val="24"/>
        </w:rPr>
        <w:t xml:space="preserve">First, conventional ABMs parameterize threat perception (TP) decay using identical equations for all agents within a demographic group. Whether Bayesian updating (Haer et al., 2017), exponential decay (Boteźat et al., 2020), or regression-derived coefficients (Choi et al., 2024), these approaches produce </w:t>
      </w:r>
      <w:r>
        <w:rPr>
          <w:rFonts w:ascii="Times New Roman" w:cs="Times New Roman" w:eastAsia="Times New Roman" w:hAnsi="Times New Roman"/>
          <w:i/>
          <w:iCs/>
          <w:sz w:val="24"/>
          <w:szCs w:val="24"/>
        </w:rPr>
        <w:t xml:space="preserve">zero within-group variance</w:t>
      </w:r>
      <w:r>
        <w:rPr>
          <w:rFonts w:ascii="Times New Roman" w:cs="Times New Roman" w:eastAsia="Times New Roman" w:hAnsi="Times New Roman"/>
          <w:sz w:val="24"/>
          <w:szCs w:val="24"/>
        </w:rPr>
        <w:t xml:space="preserve"> by construction. All marginalized (MG) agents sharing the same tract-level parameters converge to identical TP trajectories, regardless of their individual flood experiences. This homogeneity masks the most vulnerable individuals behind group averages—precisely the people that targeted interventions need to reach (Hudson et al., 2020).</w:t>
      </w:r>
    </w:p>
    <w:p>
      <w:pPr>
        <w:spacing w:after="0" w:line="480"/>
        <w:ind w:firstLine="720"/>
      </w:pPr>
      <w:r>
        <w:rPr>
          <w:rFonts w:ascii="Times New Roman" w:cs="Times New Roman" w:eastAsia="Times New Roman" w:hAnsi="Times New Roman"/>
          <w:sz w:val="24"/>
          <w:szCs w:val="24"/>
        </w:rPr>
        <w:t xml:space="preserve">Second, institutional agents—government subsidy programs and flood insurance pricing—are treated as exogenous parameters rather than endogenous actors. In reality, programs like New Jersey’s Blue Acres Floodplain Buyout Program adjust their subsidy rates in response to observed community vulnerability, and the National Flood Insurance Program (NFIP) has restructured its pricing through Risk Rating 2.0 based on accumulated loss experience (Kousky, 2017; FEMA, 2021). When institutional agents cannot respond to household behavior, the coupled feedback loops that drive protection inequality remain invisible to analysis (Schlüter et al., 2017).</w:t>
      </w:r>
    </w:p>
    <w:p>
      <w:pPr>
        <w:spacing w:after="0" w:line="480"/>
        <w:ind w:firstLine="720"/>
      </w:pPr>
      <w:r>
        <w:rPr>
          <w:rFonts w:ascii="Times New Roman" w:cs="Times New Roman" w:eastAsia="Times New Roman" w:hAnsi="Times New Roman"/>
          <w:sz w:val="24"/>
          <w:szCs w:val="24"/>
        </w:rPr>
        <w:t xml:space="preserve">Third, social influence is typically reduced to a single scalar—the tract-level percentage of neighbors who have adopted protection—ignoring the rich information ecology through which real households learn about flood risk. People observe neighbors’ physical adaptations, hear explanations for those decisions through conversation, receive delayed but reliable information from news media, and encounter immediate but noisy signals on social media (Holley et al., 2022; Botzen et al., 2019). Each channel carries different temporal properties, reliability levels, and persuasive mechanisms that shape adaptation decisions in distinct ways.</w:t>
      </w:r>
    </w:p>
    <w:p>
      <w:pPr>
        <w:spacing w:after="0" w:line="480"/>
        <w:ind w:firstLine="720"/>
      </w:pPr>
      <w:r>
        <w:rPr>
          <w:rFonts w:ascii="Times New Roman" w:cs="Times New Roman" w:eastAsia="Times New Roman" w:hAnsi="Times New Roman"/>
          <w:sz w:val="24"/>
          <w:szCs w:val="24"/>
        </w:rPr>
        <w:t xml:space="preserve">Recent advances in large language model (LLM)-based agents offer a pathway to address these limitations. Generative agents powered by language models can maintain individual memories, reason about experiences, and produce diverse behavioral responses while grounded in the same environmental conditions (Park et al., 2023). When applied to sociotechnical simulation, LLM agents have demonstrated the capacity to reproduce realistic social dynamics (Gao et al., 2024) and behavioral heterogeneity (Huang et al., 2025). However, unconstrained LLM agents can hallucinate invalid actions, violate domain rules, and produce internally incoherent reasoning (Li et al., 2024). For scientific modeling, this necessitates governance mechanisms that ensure behavioral validity without suppressing the cognitive diversity that motivates LLM use.</w:t>
      </w:r>
    </w:p>
    <w:p>
      <w:pPr>
        <w:spacing w:after="0" w:line="480"/>
        <w:ind w:firstLine="720"/>
      </w:pPr>
      <w:r>
        <w:rPr>
          <w:rFonts w:ascii="Times New Roman" w:cs="Times New Roman" w:eastAsia="Times New Roman" w:hAnsi="Times New Roman"/>
          <w:sz w:val="24"/>
          <w:szCs w:val="24"/>
        </w:rPr>
        <w:t xml:space="preserve">In this paper, we present an LLM-governed multi-agent simulation of flood adaptation in the PRB using the SAGE (Structured Agent Governance Engine) framework. Our approach replaces parametric threat perception equations with memory-mediated cognition, introduces endogenous institutional agents, and implements multi-channel social information—all within a governance layer that enforces PMT coherence. We address three research questions:</w:t>
      </w:r>
    </w:p>
    <w:p>
      <w:pPr>
        <w:spacing w:after="0" w:line="480"/>
      </w:pPr>
    </w:p>
    <w:p>
      <w:pPr>
        <w:spacing w:after="0" w:line="480"/>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How does flood memory heterogeneity shape the divergence of household adaptation pathways across socioeconomic groups?</w:t>
      </w:r>
    </w:p>
    <w:p>
      <w:pPr>
        <w:spacing w:after="0" w:line="480"/>
      </w:pPr>
    </w:p>
    <w:p>
      <w:pPr>
        <w:spacing w:after="0" w:line="480"/>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How do endogenous institutional feedbacks create or mitigate emergent patterns of protection inequality?</w:t>
      </w:r>
    </w:p>
    <w:p>
      <w:pPr>
        <w:spacing w:after="0" w:line="480"/>
      </w:pPr>
    </w:p>
    <w:p>
      <w:pPr>
        <w:spacing w:after="0" w:line="480"/>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How do social information channels with different temporal and reliability properties influence the speed and spatial pattern of protective action diffusion?</w:t>
      </w:r>
    </w:p>
    <w:p>
      <w:pPr>
        <w:spacing w:after="0" w:line="480"/>
      </w:pPr>
    </w:p>
    <w:p>
      <w:pPr>
        <w:spacing w:after="0" w:line="480"/>
      </w:pPr>
      <w:r>
        <w:rPr>
          <w:rFonts w:ascii="Times New Roman" w:cs="Times New Roman" w:eastAsia="Times New Roman" w:hAnsi="Times New Roman"/>
          <w:sz w:val="24"/>
          <w:szCs w:val="24"/>
        </w:rPr>
        <w:t xml:space="preserve">All three questions are answered from a single unified experiment—a full-featured simulation with 100 household agents, two institutional agents, and all social channels active over 13 years of historical flood hazard data. A five-metric calibration and validation (C&amp;V) protocol provides assurance of behavioral coherence, external validity, and cognitive reliability. To our knowledge, this is the first governed LLM-ABM applied to flood adaptation, and the first to jointly model memory-mediated cognition, endogenous institutional feedback, and multi-channel social information in a water resources context.</w:t>
      </w:r>
    </w:p>
    <w:p>
      <w:pPr>
        <w:pStyle w:val="Heading1"/>
        <w:spacing w:before="360" w:after="240" w:line="480"/>
      </w:pPr>
      <w:r>
        <w:rPr>
          <w:rFonts w:ascii="Times New Roman" w:cs="Times New Roman" w:eastAsia="Times New Roman" w:hAnsi="Times New Roman"/>
          <w:b/>
          <w:bCs/>
          <w:sz w:val="24"/>
          <w:szCs w:val="24"/>
        </w:rPr>
        <w:t xml:space="preserve">2 Background</w:t>
      </w:r>
    </w:p>
    <w:p>
      <w:pPr>
        <w:pStyle w:val="Heading2"/>
        <w:spacing w:before="280" w:after="200" w:line="480"/>
      </w:pPr>
      <w:r>
        <w:rPr>
          <w:rFonts w:ascii="Times New Roman" w:cs="Times New Roman" w:eastAsia="Times New Roman" w:hAnsi="Times New Roman"/>
          <w:b/>
          <w:bCs/>
          <w:sz w:val="24"/>
          <w:szCs w:val="24"/>
        </w:rPr>
        <w:t xml:space="preserve">2.1 Protection Motivation Theory for Flood Adaptation</w:t>
      </w:r>
    </w:p>
    <w:p>
      <w:pPr>
        <w:spacing w:after="0" w:line="480"/>
      </w:pPr>
      <w:r>
        <w:rPr>
          <w:rFonts w:ascii="Times New Roman" w:cs="Times New Roman" w:eastAsia="Times New Roman" w:hAnsi="Times New Roman"/>
          <w:sz w:val="24"/>
          <w:szCs w:val="24"/>
        </w:rPr>
        <w:t xml:space="preserve">Protection Motivation Theory (PMT), originally developed to explain health-protective behavior (Rogers, 1975, 1983), has become the dominant framework for modeling household flood adaptation decisions (Bubeck et al., 2012; Bamberg et al., 2017). PMT posits that protective action arises from two parallel appraisal processes: </w:t>
      </w:r>
      <w:r>
        <w:rPr>
          <w:rFonts w:ascii="Times New Roman" w:cs="Times New Roman" w:eastAsia="Times New Roman" w:hAnsi="Times New Roman"/>
          <w:i/>
          <w:iCs/>
          <w:sz w:val="24"/>
          <w:szCs w:val="24"/>
        </w:rPr>
        <w:t xml:space="preserve">threat appraisal</w:t>
      </w:r>
      <w:r>
        <w:rPr>
          <w:rFonts w:ascii="Times New Roman" w:cs="Times New Roman" w:eastAsia="Times New Roman" w:hAnsi="Times New Roman"/>
          <w:sz w:val="24"/>
          <w:szCs w:val="24"/>
        </w:rPr>
        <w:t xml:space="preserve">, comprising threat perception (TP) and severity perception (SP), assesses the probability and magnitude of harm; </w:t>
      </w:r>
      <w:r>
        <w:rPr>
          <w:rFonts w:ascii="Times New Roman" w:cs="Times New Roman" w:eastAsia="Times New Roman" w:hAnsi="Times New Roman"/>
          <w:i/>
          <w:iCs/>
          <w:sz w:val="24"/>
          <w:szCs w:val="24"/>
        </w:rPr>
        <w:t xml:space="preserve">coping appraisal</w:t>
      </w:r>
      <w:r>
        <w:rPr>
          <w:rFonts w:ascii="Times New Roman" w:cs="Times New Roman" w:eastAsia="Times New Roman" w:hAnsi="Times New Roman"/>
          <w:sz w:val="24"/>
          <w:szCs w:val="24"/>
        </w:rPr>
        <w:t xml:space="preserve">, comprising coping perception (CP), self-efficacy (SC), and protective action evaluation (PA), assesses the feasibility and effectiveness of available responses. When threat appraisal exceeds a motivational threshold and coping appraisal supports action, the individual is motivated to adopt protection (Grothmann &amp; Reusswig, 2006).</w:t>
      </w:r>
    </w:p>
    <w:p>
      <w:pPr>
        <w:spacing w:after="0" w:line="480"/>
        <w:ind w:firstLine="720"/>
      </w:pPr>
      <w:r>
        <w:rPr>
          <w:rFonts w:ascii="Times New Roman" w:cs="Times New Roman" w:eastAsia="Times New Roman" w:hAnsi="Times New Roman"/>
          <w:sz w:val="24"/>
          <w:szCs w:val="24"/>
        </w:rPr>
        <w:t xml:space="preserve">The temporal dynamics of threat perception have received particular attention. Field studies consistently show that TP peaks immediately after a flood event and decays over time as memories fade (Siegrist &amp; Gutscher, 2008; Atreya et al., 2013). This “flood memory decay” has been modeled using exponential functions (Boteźat et al., 2020), Bayesian updating rules (Haer et al., 2017), and regression coefficients derived from panel surveys (Choi et al., 2024). However, all these approaches apply identical decay parameters to agents within the same demographic or spatial group. The resulting models cannot capture intra-group heterogeneity—the empirically observed phenomenon that households with similar demographics and exposure exhibit markedly different adaptation behaviors depending on their personal experience and social context (Hudson et al., 2020).</w:t>
      </w:r>
    </w:p>
    <w:p>
      <w:pPr>
        <w:spacing w:after="0" w:line="480"/>
        <w:ind w:firstLine="720"/>
      </w:pPr>
      <w:r>
        <w:rPr>
          <w:rFonts w:ascii="Times New Roman" w:cs="Times New Roman" w:eastAsia="Times New Roman" w:hAnsi="Times New Roman"/>
          <w:sz w:val="24"/>
          <w:szCs w:val="24"/>
        </w:rPr>
        <w:t xml:space="preserve">A related limitation is that PMT constructs in conventional ABMs are </w:t>
      </w:r>
      <w:r>
        <w:rPr>
          <w:rFonts w:ascii="Times New Roman" w:cs="Times New Roman" w:eastAsia="Times New Roman" w:hAnsi="Times New Roman"/>
          <w:i/>
          <w:iCs/>
          <w:sz w:val="24"/>
          <w:szCs w:val="24"/>
        </w:rPr>
        <w:t xml:space="preserve">inputs</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 xml:space="preserve">outputs</w:t>
      </w:r>
      <w:r>
        <w:rPr>
          <w:rFonts w:ascii="Times New Roman" w:cs="Times New Roman" w:eastAsia="Times New Roman" w:hAnsi="Times New Roman"/>
          <w:sz w:val="24"/>
          <w:szCs w:val="24"/>
        </w:rPr>
        <w:t xml:space="preserve">. Construct values are initialized from survey distributions and updated via deterministic equations. The constructs themselves are not emergent properties of the agent’s reasoning process—they are parameters fed into a decision function. This approach precludes studying how constructs co-evolve with experience and information, a question central to understanding adaptive capacity (Wachinger et al., 2013).</w:t>
      </w:r>
    </w:p>
    <w:p>
      <w:pPr>
        <w:pStyle w:val="Heading2"/>
        <w:spacing w:before="280" w:after="200" w:line="480"/>
      </w:pPr>
      <w:r>
        <w:rPr>
          <w:rFonts w:ascii="Times New Roman" w:cs="Times New Roman" w:eastAsia="Times New Roman" w:hAnsi="Times New Roman"/>
          <w:b/>
          <w:bCs/>
          <w:sz w:val="24"/>
          <w:szCs w:val="24"/>
        </w:rPr>
        <w:t xml:space="preserve">2.2 Agent-Based Models in Flood Risk Research</w:t>
      </w:r>
    </w:p>
    <w:p>
      <w:pPr>
        <w:spacing w:after="0" w:line="480"/>
      </w:pPr>
      <w:r>
        <w:rPr>
          <w:rFonts w:ascii="Times New Roman" w:cs="Times New Roman" w:eastAsia="Times New Roman" w:hAnsi="Times New Roman"/>
          <w:sz w:val="24"/>
          <w:szCs w:val="24"/>
        </w:rPr>
        <w:t xml:space="preserve">ABMs have been applied to flood risk management with increasing sophistication. Early models used simple threshold rules for adaptation decisions (Dawson et al., 2011). Haer et al. (2017) introduced PMT-based decision-making with social influence, enabling analysis of how risk perception and social observation drive insurance uptake and building elevation in coastal communities. de Ruig et al. (2022) extended this framework to New York City, incorporating socioeconomic heterogeneity and policy scenarios. Michaelis et al. (2020) focused on flood insurance market dynamics, and Taberna et al. (2023) coupled ABMs with hydrodynamic models for integrated flood risk assessment.</w:t>
      </w:r>
    </w:p>
    <w:p>
      <w:pPr>
        <w:spacing w:after="0" w:line="480"/>
        <w:ind w:firstLine="720"/>
      </w:pPr>
      <w:r>
        <w:rPr>
          <w:rFonts w:ascii="Times New Roman" w:cs="Times New Roman" w:eastAsia="Times New Roman" w:hAnsi="Times New Roman"/>
          <w:sz w:val="24"/>
          <w:szCs w:val="24"/>
        </w:rPr>
        <w:t xml:space="preserve">Despite these advances, several methodological challenges persist. Social influence remains primitively represented: most models use a single scalar (the percentage of neighbors who have adopted protection) as a proxy for the complex information ecology through which real communities process risk (An, 2012). Institutional agents—when present—follow fixed rules rather than reasoning about policy in response to community states (Schlüter et al., 2017). Agent cognition is deterministic within a group, producing trajectories that diverge only between demographic categories but never within them. These limitations have motivated calls for “next-generation” ABMs with more realistic cognitive architectures (Filatova et al., 2013; Müller et al., 2013).</w:t>
      </w:r>
    </w:p>
    <w:p>
      <w:pPr>
        <w:pStyle w:val="Heading2"/>
        <w:spacing w:before="280" w:after="200" w:line="480"/>
      </w:pPr>
      <w:r>
        <w:rPr>
          <w:rFonts w:ascii="Times New Roman" w:cs="Times New Roman" w:eastAsia="Times New Roman" w:hAnsi="Times New Roman"/>
          <w:b/>
          <w:bCs/>
          <w:sz w:val="24"/>
          <w:szCs w:val="24"/>
        </w:rPr>
        <w:t xml:space="preserve">2.3 LLM Agents for Sociotechnical Simulation</w:t>
      </w:r>
    </w:p>
    <w:p>
      <w:pPr>
        <w:spacing w:after="0" w:line="480"/>
      </w:pPr>
      <w:r>
        <w:rPr>
          <w:rFonts w:ascii="Times New Roman" w:cs="Times New Roman" w:eastAsia="Times New Roman" w:hAnsi="Times New Roman"/>
          <w:sz w:val="24"/>
          <w:szCs w:val="24"/>
        </w:rPr>
        <w:t xml:space="preserve">Large language models have recently demonstrated capacity for simulating human-like behavior in social contexts. Park et al. (2023) introduced </w:t>
      </w:r>
      <w:r>
        <w:rPr>
          <w:rFonts w:ascii="Times New Roman" w:cs="Times New Roman" w:eastAsia="Times New Roman" w:hAnsi="Times New Roman"/>
          <w:i/>
          <w:iCs/>
          <w:sz w:val="24"/>
          <w:szCs w:val="24"/>
        </w:rPr>
        <w:t xml:space="preserve">Generative Agents</w:t>
      </w:r>
      <w:r>
        <w:rPr>
          <w:rFonts w:ascii="Times New Roman" w:cs="Times New Roman" w:eastAsia="Times New Roman" w:hAnsi="Times New Roman"/>
          <w:sz w:val="24"/>
          <w:szCs w:val="24"/>
        </w:rPr>
        <w:t xml:space="preserve">—LLM-powered entities with memory, reflection, and planning capabilities that produced emergent social behaviors in a simulated town environment. Subsequent work has applied LLM agents to urban planning (Zhou et al., 2024), economic simulation (Li et al., 2024), and social science experiments (Aher et al., 2023). Huang et al. (2025) provided a comprehensive review in </w:t>
      </w:r>
      <w:r>
        <w:rPr>
          <w:rFonts w:ascii="Times New Roman" w:cs="Times New Roman" w:eastAsia="Times New Roman" w:hAnsi="Times New Roman"/>
          <w:i/>
          <w:iCs/>
          <w:sz w:val="24"/>
          <w:szCs w:val="24"/>
        </w:rPr>
        <w:t xml:space="preserve">Nature Machine Intelligence</w:t>
      </w:r>
      <w:r>
        <w:rPr>
          <w:rFonts w:ascii="Times New Roman" w:cs="Times New Roman" w:eastAsia="Times New Roman" w:hAnsi="Times New Roman"/>
          <w:sz w:val="24"/>
          <w:szCs w:val="24"/>
        </w:rPr>
        <w:t xml:space="preserve">, identifying key opportunities and challenges for LLM-based social simulation.</w:t>
      </w:r>
    </w:p>
    <w:p>
      <w:pPr>
        <w:spacing w:after="0" w:line="480"/>
        <w:ind w:firstLine="720"/>
      </w:pPr>
      <w:r>
        <w:rPr>
          <w:rFonts w:ascii="Times New Roman" w:cs="Times New Roman" w:eastAsia="Times New Roman" w:hAnsi="Times New Roman"/>
          <w:sz w:val="24"/>
          <w:szCs w:val="24"/>
        </w:rPr>
        <w:t xml:space="preserve">For water resources applications, the potential is significant but largely untapped. AgentTorch (Chopra et al., 2024) demonstrated large-scale LLM-ABM infrastructure but focused on epidemiological rather than hydrological contexts. Hung and Yang (2021) explored LLM-enhanced agents for water management but did not address governance or validation. The central challenge for scientific application is </w:t>
      </w:r>
      <w:r>
        <w:rPr>
          <w:rFonts w:ascii="Times New Roman" w:cs="Times New Roman" w:eastAsia="Times New Roman" w:hAnsi="Times New Roman"/>
          <w:i/>
          <w:iCs/>
          <w:sz w:val="24"/>
          <w:szCs w:val="24"/>
        </w:rPr>
        <w:t xml:space="preserve">behavioral governance</w:t>
      </w:r>
      <w:r>
        <w:rPr>
          <w:rFonts w:ascii="Times New Roman" w:cs="Times New Roman" w:eastAsia="Times New Roman" w:hAnsi="Times New Roman"/>
          <w:sz w:val="24"/>
          <w:szCs w:val="24"/>
        </w:rPr>
        <w:t xml:space="preserve">: ensuring that LLM agents produce outputs that are both diverse (exploiting the LLM’s capacity for heterogeneous reasoning) and valid (conforming to domain knowledge). Without governance, LLM agents hallucinate impossible actions, violate physical constraints, and exhibit temporal incoherence (Li et al., 2024).</w:t>
      </w:r>
    </w:p>
    <w:p>
      <w:pPr>
        <w:spacing w:after="0" w:line="480"/>
        <w:ind w:firstLine="720"/>
      </w:pPr>
      <w:r>
        <w:rPr>
          <w:rFonts w:ascii="Times New Roman" w:cs="Times New Roman" w:eastAsia="Times New Roman" w:hAnsi="Times New Roman"/>
          <w:sz w:val="24"/>
          <w:szCs w:val="24"/>
        </w:rPr>
        <w:t xml:space="preserve">The SAGE (Structured Agent Governance Engine) framework addresses this challenge through a middleware layer that validates LLM outputs against domain rules while preserving reasoning diversity. Rather than constraining the LLM’s inputs (which would defeat the purpose of using language models), SAGE validates outputs: checking that reported constructs are coherent with chosen actions according to PMT logic, flagging hallucinated actions (e.g., re-elevating an already elevated house), and ensuring financial feasibility. This governance approach enables the use of smaller, locally deployed language models that are computationally efficient and reproducible, while the governance layer compensates for their lower reasoning capacity compared to frontier models.</w:t>
      </w:r>
    </w:p>
    <w:p>
      <w:pPr>
        <w:pStyle w:val="Heading1"/>
        <w:spacing w:before="360" w:after="240" w:line="480"/>
      </w:pPr>
      <w:r>
        <w:rPr>
          <w:rFonts w:ascii="Times New Roman" w:cs="Times New Roman" w:eastAsia="Times New Roman" w:hAnsi="Times New Roman"/>
          <w:b/>
          <w:bCs/>
          <w:sz w:val="24"/>
          <w:szCs w:val="24"/>
        </w:rPr>
        <w:t xml:space="preserve">3 Methods</w:t>
      </w:r>
    </w:p>
    <w:p>
      <w:pPr>
        <w:pStyle w:val="Heading2"/>
        <w:spacing w:before="280" w:after="200" w:line="480"/>
      </w:pPr>
      <w:r>
        <w:rPr>
          <w:rFonts w:ascii="Times New Roman" w:cs="Times New Roman" w:eastAsia="Times New Roman" w:hAnsi="Times New Roman"/>
          <w:b/>
          <w:bCs/>
          <w:sz w:val="24"/>
          <w:szCs w:val="24"/>
        </w:rPr>
        <w:t xml:space="preserve">3.1 Study Area and Data</w:t>
      </w:r>
    </w:p>
    <w:p>
      <w:pPr>
        <w:spacing w:after="0" w:line="480"/>
      </w:pPr>
      <w:r>
        <w:rPr>
          <w:rFonts w:ascii="Times New Roman" w:cs="Times New Roman" w:eastAsia="Times New Roman" w:hAnsi="Times New Roman"/>
          <w:sz w:val="24"/>
          <w:szCs w:val="24"/>
        </w:rPr>
        <w:t xml:space="preserve">The Passaic River Basin (PRB) in northern New Jersey encompasses approximately 2,400 km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across 27 census tracts in Essex, Passaic, Bergen, and Morris counties (Figure 1). The basin has experienced repeated major flooding events, including Hurricane Irene (2011), Hurricane Sandy (2012), and Hurricane Ida (2021), with cumulative economic losses exceeding $10 billion over the study period (NJDEP, 2022). Socioeconomic diversity within the PRB is substantial: marginalized (MG) communities, identified using the New Jersey Department of Environmental Protection’s environmental justice criteria (race, income, and linguistic isolation thresholds), are disproportionately located in flood-prone areas (Chakraborty et al., 2014).</w:t>
      </w:r>
    </w:p>
    <w:p>
      <w:pPr>
        <w:spacing w:after="0" w:line="480"/>
        <w:ind w:firstLine="720"/>
      </w:pPr>
      <w:r>
        <w:rPr>
          <w:rFonts w:ascii="Times New Roman" w:cs="Times New Roman" w:eastAsia="Times New Roman" w:hAnsi="Times New Roman"/>
          <w:sz w:val="24"/>
          <w:szCs w:val="24"/>
        </w:rPr>
        <w:t xml:space="preserve">We use three primary data sources. First, 13 years (2011–2023) of flood hazard data represented as ASCII raster grids at tract-level resolution, providing spatially explicit flood depth values for each simulation year. Second, the New Jersey Flood Preparedness Survey (Choi et al., 2024), a Qualtrics-administered instrument with 755 valid responses covering flood experience, risk perception, insurance status, social networks, government trust, and demographic characteristics. Third, Federal Emergency Management Agency (FEMA) National Flood Hazard Layer data delineating 100-year and 500-year floodplains for agent positioning.</w:t>
      </w:r>
    </w:p>
    <w:p>
      <w:pPr>
        <w:spacing w:before="200" w:after="200" w:line="480"/>
        <w:jc w:val="center"/>
      </w:pPr>
      <w:r>
        <w:rPr>
          <w:rFonts w:ascii="Times New Roman" w:cs="Times New Roman" w:eastAsia="Times New Roman" w:hAnsi="Times New Roman"/>
          <w:i/>
          <w:iCs/>
          <w:color w:val="666666"/>
          <w:sz w:val="24"/>
          <w:szCs w:val="24"/>
        </w:rPr>
        <w:t xml:space="preserve">[Figure 1: Study area map of the Passaic River Basin showing census tracts, FEMA flood zones, and agent locations colored by demographic cell (MG-Owner, MG-Renter, NMG-Owner, NMG-Renter). Inset shows PRB location within New Jersey.]</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3.2 SAGE Governance Framework</w:t>
      </w:r>
    </w:p>
    <w:p>
      <w:pPr>
        <w:spacing w:after="0" w:line="480"/>
      </w:pPr>
      <w:r>
        <w:rPr>
          <w:rFonts w:ascii="Times New Roman" w:cs="Times New Roman" w:eastAsia="Times New Roman" w:hAnsi="Times New Roman"/>
          <w:sz w:val="24"/>
          <w:szCs w:val="24"/>
        </w:rPr>
        <w:t xml:space="preserve">The Structured Agent Governance Engine (SAGE) is a cognitive governance middleware that mediates between LLM reasoning and simulation action execution (Figure 2). SAGE implements a three-layer architecture: (1) a </w:t>
      </w:r>
      <w:r>
        <w:rPr>
          <w:rFonts w:ascii="Times New Roman" w:cs="Times New Roman" w:eastAsia="Times New Roman" w:hAnsi="Times New Roman"/>
          <w:i/>
          <w:iCs/>
          <w:sz w:val="24"/>
          <w:szCs w:val="24"/>
        </w:rPr>
        <w:t xml:space="preserve">prompt construction layer</w:t>
      </w:r>
      <w:r>
        <w:rPr>
          <w:rFonts w:ascii="Times New Roman" w:cs="Times New Roman" w:eastAsia="Times New Roman" w:hAnsi="Times New Roman"/>
          <w:sz w:val="24"/>
          <w:szCs w:val="24"/>
        </w:rPr>
        <w:t xml:space="preserve"> that assembles agent context from persona attributes, retrieved memories, environmental state, and social information; (2) an </w:t>
      </w:r>
      <w:r>
        <w:rPr>
          <w:rFonts w:ascii="Times New Roman" w:cs="Times New Roman" w:eastAsia="Times New Roman" w:hAnsi="Times New Roman"/>
          <w:i/>
          <w:iCs/>
          <w:sz w:val="24"/>
          <w:szCs w:val="24"/>
        </w:rPr>
        <w:t xml:space="preserve">LLM reasoning layer</w:t>
      </w:r>
      <w:r>
        <w:rPr>
          <w:rFonts w:ascii="Times New Roman" w:cs="Times New Roman" w:eastAsia="Times New Roman" w:hAnsi="Times New Roman"/>
          <w:sz w:val="24"/>
          <w:szCs w:val="24"/>
        </w:rPr>
        <w:t xml:space="preserve"> where the language model produces structured outputs including PMT construct assessments, action decisions, and free-text reasoning; and (3) a </w:t>
      </w:r>
      <w:r>
        <w:rPr>
          <w:rFonts w:ascii="Times New Roman" w:cs="Times New Roman" w:eastAsia="Times New Roman" w:hAnsi="Times New Roman"/>
          <w:i/>
          <w:iCs/>
          <w:sz w:val="24"/>
          <w:szCs w:val="24"/>
        </w:rPr>
        <w:t xml:space="preserve">governance validation layer</w:t>
      </w:r>
      <w:r>
        <w:rPr>
          <w:rFonts w:ascii="Times New Roman" w:cs="Times New Roman" w:eastAsia="Times New Roman" w:hAnsi="Times New Roman"/>
          <w:sz w:val="24"/>
          <w:szCs w:val="24"/>
        </w:rPr>
        <w:t xml:space="preserve"> that checks outputs against domain rules before execution.</w:t>
      </w:r>
    </w:p>
    <w:p>
      <w:pPr>
        <w:spacing w:after="0" w:line="480"/>
        <w:ind w:firstLine="720"/>
      </w:pPr>
      <w:r>
        <w:rPr>
          <w:rFonts w:ascii="Times New Roman" w:cs="Times New Roman" w:eastAsia="Times New Roman" w:hAnsi="Times New Roman"/>
          <w:sz w:val="24"/>
          <w:szCs w:val="24"/>
        </w:rPr>
        <w:t xml:space="preserve">Governance validation enforces several classes of rules. </w:t>
      </w:r>
      <w:r>
        <w:rPr>
          <w:rFonts w:ascii="Times New Roman" w:cs="Times New Roman" w:eastAsia="Times New Roman" w:hAnsi="Times New Roman"/>
          <w:i/>
          <w:iCs/>
          <w:sz w:val="24"/>
          <w:szCs w:val="24"/>
        </w:rPr>
        <w:t xml:space="preserve">Construct-action coherence</w:t>
      </w:r>
      <w:r>
        <w:rPr>
          <w:rFonts w:ascii="Times New Roman" w:cs="Times New Roman" w:eastAsia="Times New Roman" w:hAnsi="Times New Roman"/>
          <w:sz w:val="24"/>
          <w:szCs w:val="24"/>
        </w:rPr>
        <w:t xml:space="preserve"> rules ensure that an agent reporting very high threat perception (TP = VH) cannot simultaneously choose to do nothing, and that an agent reporting very low coping perception (CP = VL) cannot choose to elevate or accept a buyout. </w:t>
      </w:r>
      <w:r>
        <w:rPr>
          <w:rFonts w:ascii="Times New Roman" w:cs="Times New Roman" w:eastAsia="Times New Roman" w:hAnsi="Times New Roman"/>
          <w:i/>
          <w:iCs/>
          <w:sz w:val="24"/>
          <w:szCs w:val="24"/>
        </w:rPr>
        <w:t xml:space="preserve">Hallucination detection</w:t>
      </w:r>
      <w:r>
        <w:rPr>
          <w:rFonts w:ascii="Times New Roman" w:cs="Times New Roman" w:eastAsia="Times New Roman" w:hAnsi="Times New Roman"/>
          <w:sz w:val="24"/>
          <w:szCs w:val="24"/>
        </w:rPr>
        <w:t xml:space="preserve"> rules flag physically impossible actions such as re-elevating an already elevated house, making decisions after relocation, or proposing actions not available to the agent’s type. </w:t>
      </w:r>
      <w:r>
        <w:rPr>
          <w:rFonts w:ascii="Times New Roman" w:cs="Times New Roman" w:eastAsia="Times New Roman" w:hAnsi="Times New Roman"/>
          <w:i/>
          <w:iCs/>
          <w:sz w:val="24"/>
          <w:szCs w:val="24"/>
        </w:rPr>
        <w:t xml:space="preserve">Financial feasibility</w:t>
      </w:r>
      <w:r>
        <w:rPr>
          <w:rFonts w:ascii="Times New Roman" w:cs="Times New Roman" w:eastAsia="Times New Roman" w:hAnsi="Times New Roman"/>
          <w:sz w:val="24"/>
          <w:szCs w:val="24"/>
        </w:rPr>
        <w:t xml:space="preserve"> rules verify that proposed actions are within the agent’s economic capacity given current subsidy rates and insurance premiums.</w:t>
      </w:r>
    </w:p>
    <w:p>
      <w:pPr>
        <w:spacing w:after="0" w:line="480"/>
        <w:ind w:firstLine="720"/>
      </w:pPr>
      <w:r>
        <w:rPr>
          <w:rFonts w:ascii="Times New Roman" w:cs="Times New Roman" w:eastAsia="Times New Roman" w:hAnsi="Times New Roman"/>
          <w:sz w:val="24"/>
          <w:szCs w:val="24"/>
        </w:rPr>
        <w:t xml:space="preserve">A critical design decision is that PMT constructs are </w:t>
      </w:r>
      <w:r>
        <w:rPr>
          <w:rFonts w:ascii="Times New Roman" w:cs="Times New Roman" w:eastAsia="Times New Roman" w:hAnsi="Times New Roman"/>
          <w:i/>
          <w:iCs/>
          <w:sz w:val="24"/>
          <w:szCs w:val="24"/>
        </w:rPr>
        <w:t xml:space="preserve">outputs</w:t>
      </w:r>
      <w:r>
        <w:rPr>
          <w:rFonts w:ascii="Times New Roman" w:cs="Times New Roman" w:eastAsia="Times New Roman" w:hAnsi="Times New Roman"/>
          <w:sz w:val="24"/>
          <w:szCs w:val="24"/>
        </w:rPr>
        <w:t xml:space="preserve"> of LLM reasoning, not inputs. The agent receives its persona, memories, and environmental context; the LLM then reasons about these inputs and produces construct labels (VL/L/M/H/VH for each of TP, CP, SP, SC, PA) alongside its action decision and explanation. This allows constructs to emerge from the reasoning process rather than being imposed externally, while governance rules maintain theoretical coherence.</w:t>
      </w:r>
    </w:p>
    <w:p>
      <w:pPr>
        <w:spacing w:after="0" w:line="480"/>
        <w:ind w:firstLine="720"/>
      </w:pPr>
      <w:r>
        <w:rPr>
          <w:rFonts w:ascii="Times New Roman" w:cs="Times New Roman" w:eastAsia="Times New Roman" w:hAnsi="Times New Roman"/>
          <w:sz w:val="24"/>
          <w:szCs w:val="24"/>
        </w:rPr>
        <w:t xml:space="preserve">The simulation proceeds in annual time steps with three-tier agent ordering: government agents act first (adjusting subsidy policies), followed by insurance agents (adjusting premium rates), and then household agents (making adaptation decisions). This ordering ensures that institutional policy changes within a year are visible to households when they make their decisions, reflecting the sequential nature of real policy-response dynamics.</w:t>
      </w:r>
    </w:p>
    <w:p>
      <w:pPr>
        <w:spacing w:before="200" w:after="200" w:line="480"/>
        <w:jc w:val="center"/>
      </w:pPr>
      <w:r>
        <w:rPr>
          <w:rFonts w:ascii="Times New Roman" w:cs="Times New Roman" w:eastAsia="Times New Roman" w:hAnsi="Times New Roman"/>
          <w:i/>
          <w:iCs/>
          <w:color w:val="666666"/>
          <w:sz w:val="24"/>
          <w:szCs w:val="24"/>
        </w:rPr>
        <w:t xml:space="preserve">[Figure 2: SAGE framework architecture. (a) Three-layer design: prompt construction, LLM reasoning, and governance validation. (b) Annual simulation cycle showing three-tier agent ordering (Government → Insurance → Households) with memory retrieval, LLM reasoning, governance validation, and action execution at each step.]</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3.3 Agent Design</w:t>
      </w:r>
    </w:p>
    <w:p>
      <w:pPr>
        <w:pStyle w:val="Heading3"/>
        <w:spacing w:before="240" w:after="160" w:line="480"/>
      </w:pPr>
      <w:r>
        <w:rPr>
          <w:rFonts w:ascii="Times New Roman" w:cs="Times New Roman" w:eastAsia="Times New Roman" w:hAnsi="Times New Roman"/>
          <w:b/>
          <w:bCs/>
          <w:i/>
          <w:iCs/>
          <w:sz w:val="24"/>
          <w:szCs w:val="24"/>
        </w:rPr>
        <w:t xml:space="preserve">3.3.1 Household agents</w:t>
      </w:r>
    </w:p>
    <w:p>
      <w:pPr>
        <w:spacing w:after="0" w:line="480"/>
      </w:pPr>
      <w:r>
        <w:rPr>
          <w:rFonts w:ascii="Times New Roman" w:cs="Times New Roman" w:eastAsia="Times New Roman" w:hAnsi="Times New Roman"/>
          <w:sz w:val="24"/>
          <w:szCs w:val="24"/>
        </w:rPr>
        <w:t xml:space="preserve">One hundred household agents are organized in a balanced 4-cell factorial design (Table 1) to ensure statistical power for comparing across marginalization status (MG vs. NMG) and tenure type (owner vs. renter). Each cell contains 25 agents, initialized from the NJ Flood Preparedness Survey using stratified sampling. Personas include demographic attributes (age bracket, education, income bracket, years in residence), flood history (prior damage, insurance claims), and attitudinal indicators (government trust, place attachment) drawn from survey responses.</w:t>
      </w:r>
    </w:p>
    <w:p>
      <w:pPr>
        <w:spacing w:after="0" w:line="480"/>
        <w:ind w:firstLine="720"/>
      </w:pPr>
      <w:r>
        <w:rPr>
          <w:rFonts w:ascii="Times New Roman" w:cs="Times New Roman" w:eastAsia="Times New Roman" w:hAnsi="Times New Roman"/>
          <w:sz w:val="24"/>
          <w:szCs w:val="24"/>
        </w:rPr>
        <w:t xml:space="preserve">Agent locations are assigned using a depth-weighted spatial sampler: MG agents are placed in flood-prone areas with 70% probability (reflecting empirical patterns of environmental injustice), while NMG agents are placed in flood-prone areas with 50% probability. Replacement cost values (RCV) follow lognormal distributions calibrated to PRB housing stock: homeowners with μ = 12.46, σ = 0.63 (median ~$260K); renters with contents-only RCV μ = 12.82, σ = 1.20 (median ~$40K).</w:t>
      </w:r>
    </w:p>
    <w:p>
      <w:pPr>
        <w:spacing w:after="0" w:line="480"/>
        <w:ind w:firstLine="720"/>
      </w:pPr>
      <w:r>
        <w:rPr>
          <w:rFonts w:ascii="Times New Roman" w:cs="Times New Roman" w:eastAsia="Times New Roman" w:hAnsi="Times New Roman"/>
          <w:sz w:val="24"/>
          <w:szCs w:val="24"/>
        </w:rPr>
        <w:t xml:space="preserve">Homeowner agents can choose from five actions: </w:t>
      </w:r>
      <w:r>
        <w:rPr>
          <w:rFonts w:ascii="Times New Roman" w:cs="Times New Roman" w:eastAsia="Times New Roman" w:hAnsi="Times New Roman"/>
          <w:i/>
          <w:iCs/>
          <w:sz w:val="24"/>
          <w:szCs w:val="24"/>
        </w:rPr>
        <w:t xml:space="preserve">buy insurance</w:t>
      </w:r>
      <w:r>
        <w:rPr>
          <w:rFonts w:ascii="Times New Roman" w:cs="Times New Roman" w:eastAsia="Times New Roman" w:hAnsi="Times New Roman"/>
          <w:sz w:val="24"/>
          <w:szCs w:val="24"/>
        </w:rPr>
        <w:t xml:space="preserve"> (structure + contents or contents-only coverage), </w:t>
      </w:r>
      <w:r>
        <w:rPr>
          <w:rFonts w:ascii="Times New Roman" w:cs="Times New Roman" w:eastAsia="Times New Roman" w:hAnsi="Times New Roman"/>
          <w:i/>
          <w:iCs/>
          <w:sz w:val="24"/>
          <w:szCs w:val="24"/>
        </w:rPr>
        <w:t xml:space="preserve">elevate house</w:t>
      </w:r>
      <w:r>
        <w:rPr>
          <w:rFonts w:ascii="Times New Roman" w:cs="Times New Roman" w:eastAsia="Times New Roman" w:hAnsi="Times New Roman"/>
          <w:sz w:val="24"/>
          <w:szCs w:val="24"/>
        </w:rPr>
        <w:t xml:space="preserve"> (3, 5, or 8 feet, with costs of approximately $45K, $80K, and $150K before subsidy), </w:t>
      </w:r>
      <w:r>
        <w:rPr>
          <w:rFonts w:ascii="Times New Roman" w:cs="Times New Roman" w:eastAsia="Times New Roman" w:hAnsi="Times New Roman"/>
          <w:i/>
          <w:iCs/>
          <w:sz w:val="24"/>
          <w:szCs w:val="24"/>
        </w:rPr>
        <w:t xml:space="preserve">accept buyout</w:t>
      </w:r>
      <w:r>
        <w:rPr>
          <w:rFonts w:ascii="Times New Roman" w:cs="Times New Roman" w:eastAsia="Times New Roman" w:hAnsi="Times New Roman"/>
          <w:sz w:val="24"/>
          <w:szCs w:val="24"/>
        </w:rPr>
        <w:t xml:space="preserve"> (Blue Acres program, 75% of pre-flood RCV), </w:t>
      </w:r>
      <w:r>
        <w:rPr>
          <w:rFonts w:ascii="Times New Roman" w:cs="Times New Roman" w:eastAsia="Times New Roman" w:hAnsi="Times New Roman"/>
          <w:i/>
          <w:iCs/>
          <w:sz w:val="24"/>
          <w:szCs w:val="24"/>
        </w:rPr>
        <w:t xml:space="preserve">do nothing</w:t>
      </w:r>
      <w:r>
        <w:rPr>
          <w:rFonts w:ascii="Times New Roman" w:cs="Times New Roman" w:eastAsia="Times New Roman" w:hAnsi="Times New Roman"/>
          <w:sz w:val="24"/>
          <w:szCs w:val="24"/>
        </w:rPr>
        <w:t xml:space="preserve">, or a secondary action if budget permits. Renter agents can </w:t>
      </w:r>
      <w:r>
        <w:rPr>
          <w:rFonts w:ascii="Times New Roman" w:cs="Times New Roman" w:eastAsia="Times New Roman" w:hAnsi="Times New Roman"/>
          <w:i/>
          <w:iCs/>
          <w:sz w:val="24"/>
          <w:szCs w:val="24"/>
        </w:rPr>
        <w:t xml:space="preserve">buy contents insurance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relocate</w:t>
      </w:r>
      <w:r>
        <w:rPr>
          <w:rFonts w:ascii="Times New Roman" w:cs="Times New Roman" w:eastAsia="Times New Roman" w:hAnsi="Times New Roman"/>
          <w:sz w:val="24"/>
          <w:szCs w:val="24"/>
        </w:rPr>
        <w:t xml:space="preserve"> (within-basin or out-of-basin), or </w:t>
      </w:r>
      <w:r>
        <w:rPr>
          <w:rFonts w:ascii="Times New Roman" w:cs="Times New Roman" w:eastAsia="Times New Roman" w:hAnsi="Times New Roman"/>
          <w:i/>
          <w:iCs/>
          <w:sz w:val="24"/>
          <w:szCs w:val="24"/>
        </w:rPr>
        <w:t xml:space="preserve">do nothing</w:t>
      </w:r>
      <w:r>
        <w:rPr>
          <w:rFonts w:ascii="Times New Roman" w:cs="Times New Roman" w:eastAsia="Times New Roman" w:hAnsi="Times New Roman"/>
          <w:sz w:val="24"/>
          <w:szCs w:val="24"/>
        </w:rPr>
        <w:t xml:space="preserve">. Financial information—including per-agent premium estimates, elevation costs after subsidy, and buyout offers—is injected into each agent’s prompt to enable informed decision-making.</w:t>
      </w:r>
    </w:p>
    <w:p>
      <w:pPr>
        <w:pStyle w:val="Heading3"/>
        <w:spacing w:before="240" w:after="160" w:line="480"/>
      </w:pPr>
      <w:r>
        <w:rPr>
          <w:rFonts w:ascii="Times New Roman" w:cs="Times New Roman" w:eastAsia="Times New Roman" w:hAnsi="Times New Roman"/>
          <w:b/>
          <w:bCs/>
          <w:i/>
          <w:iCs/>
          <w:sz w:val="24"/>
          <w:szCs w:val="24"/>
        </w:rPr>
        <w:t xml:space="preserve">3.3.2 Institutional agents</w:t>
      </w:r>
    </w:p>
    <w:p>
      <w:pPr>
        <w:spacing w:after="0" w:line="480"/>
      </w:pPr>
      <w:r>
        <w:rPr>
          <w:rFonts w:ascii="Times New Roman" w:cs="Times New Roman" w:eastAsia="Times New Roman" w:hAnsi="Times New Roman"/>
          <w:sz w:val="24"/>
          <w:szCs w:val="24"/>
        </w:rPr>
        <w:t xml:space="preserve">Two institutional agents operate as LLM-driven policy makers. The </w:t>
      </w:r>
      <w:r>
        <w:rPr>
          <w:rFonts w:ascii="Times New Roman" w:cs="Times New Roman" w:eastAsia="Times New Roman" w:hAnsi="Times New Roman"/>
          <w:i/>
          <w:iCs/>
          <w:sz w:val="24"/>
          <w:szCs w:val="24"/>
        </w:rPr>
        <w:t xml:space="preserve">NJ Government agent</w:t>
      </w:r>
      <w:r>
        <w:rPr>
          <w:rFonts w:ascii="Times New Roman" w:cs="Times New Roman" w:eastAsia="Times New Roman" w:hAnsi="Times New Roman"/>
          <w:sz w:val="24"/>
          <w:szCs w:val="24"/>
        </w:rPr>
        <w:t xml:space="preserve"> represents the New Jersey Department of Environmental Protection administering the Blue Acres Floodplain Buyout Program. Each year, it receives community-level metrics—including MG and NMG adaptation rates, cumulative damage reports, and budget status—and decides whether to increase, decrease, or maintain the subsidy rate (in 5 percentage-point increments). Its prompt encodes environmental justice prioritization consistent with NJ policy mandates.</w:t>
      </w:r>
    </w:p>
    <w:p>
      <w:pPr>
        <w:spacing w:after="0" w:line="480"/>
        <w:ind w:firstLine="720"/>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FEMA/NFIP Insurance agent</w:t>
      </w:r>
      <w:r>
        <w:rPr>
          <w:rFonts w:ascii="Times New Roman" w:cs="Times New Roman" w:eastAsia="Times New Roman" w:hAnsi="Times New Roman"/>
          <w:sz w:val="24"/>
          <w:szCs w:val="24"/>
        </w:rPr>
        <w:t xml:space="preserve"> represents a regional administrator implementing Risk Rating 2.0 pricing. It receives actuarial data including the loss ratio (total claims divided by total premiums), policyholder uptake rates, and solvency metrics, and decides whether to raise, lower, or maintain premium rates. Both institutional agents use window-based memory (retaining the last three years of metrics) rather than the full memory architecture used by households, reflecting the aggregate-data orientation of institutional decision-making.</w:t>
      </w:r>
    </w:p>
    <w:p>
      <w:pPr>
        <w:spacing w:after="0" w:line="480"/>
      </w:pPr>
    </w:p>
    <w:p>
      <w:pPr>
        <w:spacing w:after="120" w:line="48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Agent configuration for the balanced 4-cell experiment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700"/>
        <w:gridCol w:w="1400"/>
        <w:gridCol w:w="1400"/>
        <w:gridCol w:w="1400"/>
        <w:gridCol w:w="1400"/>
      </w:tblGrid>
      <w:tr>
        <w:trPr>
          <w:tblHeader/>
        </w:trPr>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Agent Type</w:t>
            </w:r>
          </w:p>
        </w:tc>
        <w:tc>
          <w:tcPr>
            <w:tcW w:type="dxa" w:w="8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N</w:t>
            </w:r>
          </w:p>
        </w:tc>
        <w:tc>
          <w:tcPr>
            <w:tcW w:type="dxa" w:w="8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MG</w:t>
            </w:r>
          </w:p>
        </w:tc>
        <w:tc>
          <w:tcPr>
            <w:tcW w:type="dxa" w:w="7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Tenure</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Flood-Prone %</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RCV Range</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Memory</w:t>
            </w:r>
          </w:p>
        </w:tc>
        <w:tc>
          <w:tcPr>
            <w:tcW w:type="dxa" w:w="14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Skills</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MG-Owner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Yes</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Own</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70%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$150K–$430K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 Elevate, Buyout,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MG-Renter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Yes</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Rent</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70%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$15K–$80K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Insure(C), Relocate,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NMG-Owner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No</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Own</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50%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$180K–$530K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 Elevate, Buyout,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NMG-Renter</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25</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No</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Rent</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50%</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$20K–$100K</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HumanCentric</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Insure(C), Relocate, DN</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NJ Government</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Window (3 yr)</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Subsidy ±5%</w:t>
            </w:r>
          </w:p>
        </w:tc>
      </w:tr>
      <w:tr>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FEMA/NFIP</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1</w:t>
            </w:r>
          </w:p>
        </w:tc>
        <w:tc>
          <w:tcPr>
            <w:tcW w:type="dxa" w:w="8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7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Window (3 yr)</w:t>
            </w:r>
          </w:p>
        </w:tc>
        <w:tc>
          <w:tcPr>
            <w:tcW w:type="dxa" w:w="14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Premium adj.</w:t>
            </w:r>
          </w:p>
        </w:tc>
      </w:tr>
    </w:tbl>
    <w:p>
      <w:pPr>
        <w:spacing w:after="0" w:line="480"/>
      </w:pPr>
    </w:p>
    <w:p>
      <w:pPr>
        <w:pStyle w:val="Heading2"/>
        <w:spacing w:before="280" w:after="200" w:line="480"/>
      </w:pPr>
      <w:r>
        <w:rPr>
          <w:rFonts w:ascii="Times New Roman" w:cs="Times New Roman" w:eastAsia="Times New Roman" w:hAnsi="Times New Roman"/>
          <w:b/>
          <w:bCs/>
          <w:sz w:val="24"/>
          <w:szCs w:val="24"/>
        </w:rPr>
        <w:t xml:space="preserve">3.4 Memory Architecture</w:t>
      </w:r>
    </w:p>
    <w:p>
      <w:pPr>
        <w:spacing w:after="0" w:line="480"/>
      </w:pPr>
      <w:r>
        <w:rPr>
          <w:rFonts w:ascii="Times New Roman" w:cs="Times New Roman" w:eastAsia="Times New Roman" w:hAnsi="Times New Roman"/>
          <w:sz w:val="24"/>
          <w:szCs w:val="24"/>
        </w:rPr>
        <w:t xml:space="preserve">The memory system is the primary mechanism through which individual heterogeneity emerges. Rather than applying a parametric threat perception decay function—which produces identical trajectories for agents sharing the same group parameters—we implement a memory-mediated approach where threat perception arises from the agent’s retrieved memories at decision time.</w:t>
      </w:r>
    </w:p>
    <w:p>
      <w:pPr>
        <w:spacing w:after="0" w:line="480"/>
        <w:ind w:firstLine="720"/>
      </w:pPr>
      <w:r>
        <w:rPr>
          <w:rFonts w:ascii="Times New Roman" w:cs="Times New Roman" w:eastAsia="Times New Roman" w:hAnsi="Times New Roman"/>
          <w:sz w:val="24"/>
          <w:szCs w:val="24"/>
        </w:rPr>
        <w:t xml:space="preserve">Each agent maintains a personal memory store managed by the HumanCentric Memory Engine, which implements four key mechanisms. </w:t>
      </w:r>
      <w:r>
        <w:rPr>
          <w:rFonts w:ascii="Times New Roman" w:cs="Times New Roman" w:eastAsia="Times New Roman" w:hAnsi="Times New Roman"/>
          <w:i/>
          <w:iCs/>
          <w:sz w:val="24"/>
          <w:szCs w:val="24"/>
        </w:rPr>
        <w:t xml:space="preserve">Importance decay</w:t>
      </w:r>
      <w:r>
        <w:rPr>
          <w:rFonts w:ascii="Times New Roman" w:cs="Times New Roman" w:eastAsia="Times New Roman" w:hAnsi="Times New Roman"/>
          <w:sz w:val="24"/>
          <w:szCs w:val="24"/>
        </w:rPr>
        <w:t xml:space="preserve"> reduces a memory’s retrieval weight over time according to an exponential function with rate λ = 0.1 per year, loosely calibrated to the Ebbinghaus forgetting curve (Ebbinghaus, 1885/1913). </w:t>
      </w:r>
      <w:r>
        <w:rPr>
          <w:rFonts w:ascii="Times New Roman" w:cs="Times New Roman" w:eastAsia="Times New Roman" w:hAnsi="Times New Roman"/>
          <w:i/>
          <w:iCs/>
          <w:sz w:val="24"/>
          <w:szCs w:val="24"/>
        </w:rPr>
        <w:t xml:space="preserve">Emotional weighting</w:t>
      </w:r>
      <w:r>
        <w:rPr>
          <w:rFonts w:ascii="Times New Roman" w:cs="Times New Roman" w:eastAsia="Times New Roman" w:hAnsi="Times New Roman"/>
          <w:sz w:val="24"/>
          <w:szCs w:val="24"/>
        </w:rPr>
        <w:t xml:space="preserve"> amplifies memories associated with strong affect: fear-tagged memories (e.g., flood damage) receive a 1.2× retrieval boost, while hope-tagged memories (e.g., successful adaptation) receive 0.8×, consistent with negativity bias in risk perception (Kahneman, 2011). </w:t>
      </w:r>
      <w:r>
        <w:rPr>
          <w:rFonts w:ascii="Times New Roman" w:cs="Times New Roman" w:eastAsia="Times New Roman" w:hAnsi="Times New Roman"/>
          <w:i/>
          <w:iCs/>
          <w:sz w:val="24"/>
          <w:szCs w:val="24"/>
        </w:rPr>
        <w:t xml:space="preserve">Source weighting</w:t>
      </w:r>
      <w:r>
        <w:rPr>
          <w:rFonts w:ascii="Times New Roman" w:cs="Times New Roman" w:eastAsia="Times New Roman" w:hAnsi="Times New Roman"/>
          <w:sz w:val="24"/>
          <w:szCs w:val="24"/>
        </w:rPr>
        <w:t xml:space="preserve"> differentiates between personal experience (1.0×), neighbor reports (0.7×), and media information (0.5×), reflecting the availability heuristic’s emphasis on vivid personal experience (Tversky &amp; Kahneman, 1973). </w:t>
      </w:r>
      <w:r>
        <w:rPr>
          <w:rFonts w:ascii="Times New Roman" w:cs="Times New Roman" w:eastAsia="Times New Roman" w:hAnsi="Times New Roman"/>
          <w:i/>
          <w:iCs/>
          <w:sz w:val="24"/>
          <w:szCs w:val="24"/>
        </w:rPr>
        <w:t xml:space="preserve">Surprise-based encoding</w:t>
      </w:r>
      <w:r>
        <w:rPr>
          <w:rFonts w:ascii="Times New Roman" w:cs="Times New Roman" w:eastAsia="Times New Roman" w:hAnsi="Times New Roman"/>
          <w:sz w:val="24"/>
          <w:szCs w:val="24"/>
        </w:rPr>
        <w:t xml:space="preserve"> assigns higher initial importance to unexpected events: a flood in a low-risk area or a neighbor’s unexpected relocation receives a surprise bonus that increases its salience in future retrieval.</w:t>
      </w:r>
    </w:p>
    <w:p>
      <w:pPr>
        <w:spacing w:after="0" w:line="480"/>
        <w:ind w:firstLine="720"/>
      </w:pPr>
      <w:r>
        <w:rPr>
          <w:rFonts w:ascii="Times New Roman" w:cs="Times New Roman" w:eastAsia="Times New Roman" w:hAnsi="Times New Roman"/>
          <w:sz w:val="24"/>
          <w:szCs w:val="24"/>
        </w:rPr>
        <w:t xml:space="preserve">At decision time, memories are retrieved using stratified sampling across categories (personal flood experience, neighbor observations, community information, and prior reflections) to ensure diverse input. The retrieved memory set—unique to each agent based on their personal history—constitutes the primary input to LLM reasoning. Because different agents accumulate different flood experiences, social observations, and institutional interactions, their retrieved memories diverge even when their initial personas are similar. This divergence is the mechanism through which within-group heterogeneity emerges without requiring explicit parameterization.</w:t>
      </w:r>
    </w:p>
    <w:p>
      <w:pPr>
        <w:spacing w:after="0" w:line="480"/>
        <w:ind w:firstLine="720"/>
      </w:pPr>
      <w:r>
        <w:rPr>
          <w:rFonts w:ascii="Times New Roman" w:cs="Times New Roman" w:eastAsia="Times New Roman" w:hAnsi="Times New Roman"/>
          <w:sz w:val="24"/>
          <w:szCs w:val="24"/>
        </w:rPr>
        <w:t xml:space="preserve">Critically, no-flood years also generate memories: agents record that “no significant flooding occurred this year,” with decreasing importance (0.3 in the first quiet year, declining to 0.15 by the third consecutive quiet year). These non-event memories serve as the cognitive basis for threat perception decay—the LLM, upon retrieving multiple “no flood” memories and fading flood memories, naturally reasons toward lower threat perception. This mechanism replaces the parametric decay equation with an emergent cognitive process that produces qualitatively similar macro-level decay patterns while allowing individual-level variation (Di Baldassarre et al., 2015).</w:t>
      </w:r>
    </w:p>
    <w:p>
      <w:pPr>
        <w:pStyle w:val="Heading2"/>
        <w:spacing w:before="280" w:after="200" w:line="480"/>
      </w:pPr>
      <w:r>
        <w:rPr>
          <w:rFonts w:ascii="Times New Roman" w:cs="Times New Roman" w:eastAsia="Times New Roman" w:hAnsi="Times New Roman"/>
          <w:b/>
          <w:bCs/>
          <w:sz w:val="24"/>
          <w:szCs w:val="24"/>
        </w:rPr>
        <w:t xml:space="preserve">3.5 Social Information Channels</w:t>
      </w:r>
    </w:p>
    <w:p>
      <w:pPr>
        <w:spacing w:after="0" w:line="480"/>
      </w:pPr>
      <w:r>
        <w:rPr>
          <w:rFonts w:ascii="Times New Roman" w:cs="Times New Roman" w:eastAsia="Times New Roman" w:hAnsi="Times New Roman"/>
          <w:sz w:val="24"/>
          <w:szCs w:val="24"/>
        </w:rPr>
        <w:t xml:space="preserve">Agents are connected through a spatial social network with five neighbors per agent, generated using preferential attachment with 70% same-region weighting (i.e., 70% of an agent’s connections are within their census tract). Information flows through four channels with distinct temporal and reliability properties:</w:t>
      </w:r>
    </w:p>
    <w:p>
      <w:pPr>
        <w:spacing w:after="0" w:line="480"/>
        <w:ind w:firstLine="720"/>
      </w:pPr>
      <w:r>
        <w:rPr>
          <w:rFonts w:ascii="Times New Roman" w:cs="Times New Roman" w:eastAsia="Times New Roman" w:hAnsi="Times New Roman"/>
          <w:i/>
          <w:iCs/>
          <w:sz w:val="24"/>
          <w:szCs w:val="24"/>
        </w:rPr>
        <w:t xml:space="preserve">Direct observation</w:t>
      </w:r>
      <w:r>
        <w:rPr>
          <w:rFonts w:ascii="Times New Roman" w:cs="Times New Roman" w:eastAsia="Times New Roman" w:hAnsi="Times New Roman"/>
          <w:sz w:val="24"/>
          <w:szCs w:val="24"/>
        </w:rPr>
        <w:t xml:space="preserve"> allows agents to see their five network neighbors’ current adaptation states (elevated, insured, relocated, or none). This channel provides reliable, immediate information but only about physical outcomes, not about the reasoning behind decisions.</w:t>
      </w:r>
    </w:p>
    <w:p>
      <w:pPr>
        <w:spacing w:after="0" w:line="480"/>
        <w:ind w:firstLine="720"/>
      </w:pPr>
      <w:r>
        <w:rPr>
          <w:rFonts w:ascii="Times New Roman" w:cs="Times New Roman" w:eastAsia="Times New Roman" w:hAnsi="Times New Roman"/>
          <w:i/>
          <w:iCs/>
          <w:sz w:val="24"/>
          <w:szCs w:val="24"/>
        </w:rPr>
        <w:t xml:space="preserve">Gossip</w:t>
      </w:r>
      <w:r>
        <w:rPr>
          <w:rFonts w:ascii="Times New Roman" w:cs="Times New Roman" w:eastAsia="Times New Roman" w:hAnsi="Times New Roman"/>
          <w:sz w:val="24"/>
          <w:szCs w:val="24"/>
        </w:rPr>
        <w:t xml:space="preserve"> propagates decision reasoning between connected agents. When an agent makes an adaptation decision, a summary of their reasoning (e.g., “I elevated my house because I remembered the devastating flood in 2011 and can’t afford to lose my home again”) can be transmitted to up to two neighbors, filtered by an importance threshold of 0.5. Gossip is the only channel that transmits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agents act, not just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they did. This distinction is theoretically important: social learning theory suggests that observing reasoning enhances imitation more than observing outcomes alone (Bandura, 1977).</w:t>
      </w:r>
    </w:p>
    <w:p>
      <w:pPr>
        <w:spacing w:after="0" w:line="480"/>
        <w:ind w:firstLine="720"/>
      </w:pPr>
      <w:r>
        <w:rPr>
          <w:rFonts w:ascii="Times New Roman" w:cs="Times New Roman" w:eastAsia="Times New Roman" w:hAnsi="Times New Roman"/>
          <w:i/>
          <w:iCs/>
          <w:sz w:val="24"/>
          <w:szCs w:val="24"/>
        </w:rPr>
        <w:t xml:space="preserve">News media</w:t>
      </w:r>
      <w:r>
        <w:rPr>
          <w:rFonts w:ascii="Times New Roman" w:cs="Times New Roman" w:eastAsia="Times New Roman" w:hAnsi="Times New Roman"/>
          <w:sz w:val="24"/>
          <w:szCs w:val="24"/>
        </w:rPr>
        <w:t xml:space="preserve"> provides community-wide adaptation statistics (e.g., “35% of households in the PRB now carry flood insurance”) with a one-year delay and high reliability (0.9). This channel represents trusted institutional communication that reaches all agents but reports only aggregate, delayed information.</w:t>
      </w:r>
    </w:p>
    <w:p>
      <w:pPr>
        <w:spacing w:after="0" w:line="480"/>
        <w:ind w:firstLine="720"/>
      </w:pPr>
      <w:r>
        <w:rPr>
          <w:rFonts w:ascii="Times New Roman" w:cs="Times New Roman" w:eastAsia="Times New Roman" w:hAnsi="Times New Roman"/>
          <w:i/>
          <w:iCs/>
          <w:sz w:val="24"/>
          <w:szCs w:val="24"/>
        </w:rPr>
        <w:t xml:space="preserve">Social media</w:t>
      </w:r>
      <w:r>
        <w:rPr>
          <w:rFonts w:ascii="Times New Roman" w:cs="Times New Roman" w:eastAsia="Times New Roman" w:hAnsi="Times New Roman"/>
          <w:sz w:val="24"/>
          <w:szCs w:val="24"/>
        </w:rPr>
        <w:t xml:space="preserve"> provides immediate post-event information (e.g., reports of flood damage, community reactions) with variable reliability (0.4–0.8) and an exaggeration factor of 0.3 (damage reports may overstate actual impacts by up to 30%). This channel captures the speed-reliability tradeoff characteristic of informal digital communication (Holley et al., 2022).</w:t>
      </w:r>
    </w:p>
    <w:p>
      <w:pPr>
        <w:pStyle w:val="Heading2"/>
        <w:spacing w:before="280" w:after="200" w:line="480"/>
      </w:pPr>
      <w:r>
        <w:rPr>
          <w:rFonts w:ascii="Times New Roman" w:cs="Times New Roman" w:eastAsia="Times New Roman" w:hAnsi="Times New Roman"/>
          <w:b/>
          <w:bCs/>
          <w:sz w:val="24"/>
          <w:szCs w:val="24"/>
        </w:rPr>
        <w:t xml:space="preserve">3.6 Calibration and Validation Protocol</w:t>
      </w:r>
    </w:p>
    <w:p>
      <w:pPr>
        <w:spacing w:after="0" w:line="480"/>
      </w:pPr>
      <w:r>
        <w:rPr>
          <w:rFonts w:ascii="Times New Roman" w:cs="Times New Roman" w:eastAsia="Times New Roman" w:hAnsi="Times New Roman"/>
          <w:sz w:val="24"/>
          <w:szCs w:val="24"/>
        </w:rPr>
        <w:t xml:space="preserve">LLM-based ABMs lack established validation standards. We propose a three-level calibration and validation (C&amp;V) protocol that addresses internal coherence, external validity, and cognitive reliability (Table 2).</w:t>
      </w:r>
    </w:p>
    <w:p>
      <w:pPr>
        <w:spacing w:after="0" w:line="480"/>
        <w:ind w:firstLine="720"/>
      </w:pPr>
      <w:r>
        <w:rPr>
          <w:rFonts w:ascii="Times New Roman" w:cs="Times New Roman" w:eastAsia="Times New Roman" w:hAnsi="Times New Roman"/>
          <w:i/>
          <w:iCs/>
          <w:sz w:val="24"/>
          <w:szCs w:val="24"/>
        </w:rPr>
        <w:t xml:space="preserve">Level 1—Internal Coherence</w:t>
      </w:r>
      <w:r>
        <w:rPr>
          <w:rFonts w:ascii="Times New Roman" w:cs="Times New Roman" w:eastAsia="Times New Roman" w:hAnsi="Times New Roman"/>
          <w:sz w:val="24"/>
          <w:szCs w:val="24"/>
        </w:rPr>
        <w:t xml:space="preserve"> (micro-level) evaluates whether individual agent outputs are self-consistent. The Construct-Action Coherence Rate (CACR) measures the fraction of agent decisions where reported PMT constructs are logically consistent with the chosen action according to domain rules (e.g., TP = VH should not co-occur with “do nothing”; CP = VL should not co-occur with “elevate”). The Hallucination Rate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measures the fraction of agent outputs that contain physically impossible actions (re-elevation, post-relocation decisions) or thinking violations (inconsistent construct patterns). We set thresholds of CACR ≥ 0.80 and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0.10.</w:t>
      </w:r>
    </w:p>
    <w:p>
      <w:pPr>
        <w:spacing w:after="0" w:line="480"/>
        <w:ind w:firstLine="720"/>
      </w:pPr>
      <w:r>
        <w:rPr>
          <w:rFonts w:ascii="Times New Roman" w:cs="Times New Roman" w:eastAsia="Times New Roman" w:hAnsi="Times New Roman"/>
          <w:i/>
          <w:iCs/>
          <w:sz w:val="24"/>
          <w:szCs w:val="24"/>
        </w:rPr>
        <w:t xml:space="preserve">Level 2—External Validity</w:t>
      </w:r>
      <w:r>
        <w:rPr>
          <w:rFonts w:ascii="Times New Roman" w:cs="Times New Roman" w:eastAsia="Times New Roman" w:hAnsi="Times New Roman"/>
          <w:sz w:val="24"/>
          <w:szCs w:val="24"/>
        </w:rPr>
        <w:t xml:space="preserve"> (macro-level) evaluates whether aggregate model outputs align with empirical observations. The Behavioral Realism Coefficient (BRC) compares simulated aggregate patterns against three empirical benchmarks: NFIP uptake rates for the PRB region (~30–40% of eligible households; Kousky, 2017), Blue Acres participation rates following major flood events (~5–15% of eligible households; NJDEP, 2022), and post-flood adaptation rates from the NJ survey (Choi et al., 2024). We set a threshold of BRC ≥ 0.60, indicating that simulated rates fall within empirically plausible ranges.</w:t>
      </w:r>
    </w:p>
    <w:p>
      <w:pPr>
        <w:spacing w:after="0" w:line="480"/>
        <w:ind w:firstLine="720"/>
      </w:pPr>
      <w:r>
        <w:rPr>
          <w:rFonts w:ascii="Times New Roman" w:cs="Times New Roman" w:eastAsia="Times New Roman" w:hAnsi="Times New Roman"/>
          <w:i/>
          <w:iCs/>
          <w:sz w:val="24"/>
          <w:szCs w:val="24"/>
        </w:rPr>
        <w:t xml:space="preserve">Level 3—Cognitive Reliability</w:t>
      </w:r>
      <w:r>
        <w:rPr>
          <w:rFonts w:ascii="Times New Roman" w:cs="Times New Roman" w:eastAsia="Times New Roman" w:hAnsi="Times New Roman"/>
          <w:sz w:val="24"/>
          <w:szCs w:val="24"/>
        </w:rPr>
        <w:t xml:space="preserve"> assesses the stability and diversity of LLM reasoning. The Intraclass Correlation Coefficient ICC(2,1) (Shrout &amp; Fleiss, 1979) measures test-retest reliability: six archetypal agent profiles (e.g., “recently flooded MG homeowner,” “long-term unflooded NMG renter”) are presented with three vignettes (e.g., “major flood,” “neighbor elevated,” “subsidy increased”) across 30 repetitions each, yielding 540 LLM calls per model. We set ICC ≥ 0.60 (moderate reliability). Effective Behavioral Entropy (EBE; based on Shannon, 1948) measures the diversity of action distributions weighted by coherence, quantifying whether the model produces meaningfully varied behavior rather than collapsing to a single dominant action.</w:t>
      </w:r>
    </w:p>
    <w:p>
      <w:pPr>
        <w:spacing w:after="0" w:line="480"/>
      </w:pPr>
    </w:p>
    <w:p>
      <w:pPr>
        <w:spacing w:after="120" w:line="48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Calibration and validation protocol results. Thresholds are pre-registered; results are from the primary experiment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300"/>
        <w:gridCol w:w="1300"/>
        <w:gridCol w:w="1300"/>
        <w:gridCol w:w="1900"/>
      </w:tblGrid>
      <w:tr>
        <w:trPr>
          <w:tblHeader/>
        </w:trPr>
        <w:tc>
          <w:tcPr>
            <w:tcW w:type="dxa" w:w="15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Metric</w:t>
            </w:r>
          </w:p>
        </w:tc>
        <w:tc>
          <w:tcPr>
            <w:tcW w:type="dxa" w:w="9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Level</w:t>
            </w:r>
          </w:p>
        </w:tc>
        <w:tc>
          <w:tcPr>
            <w:tcW w:type="dxa" w:w="11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Threshold</w:t>
            </w:r>
          </w:p>
        </w:tc>
        <w:tc>
          <w:tcPr>
            <w:tcW w:type="dxa" w:w="13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Primary</w:t>
            </w:r>
          </w:p>
        </w:tc>
        <w:tc>
          <w:tcPr>
            <w:tcW w:type="dxa" w:w="13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SI-1
(Window)</w:t>
            </w:r>
          </w:p>
        </w:tc>
        <w:tc>
          <w:tcPr>
            <w:tcW w:type="dxa" w:w="13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SI-2
(Fixed Inst.)</w:t>
            </w:r>
          </w:p>
        </w:tc>
        <w:tc>
          <w:tcPr>
            <w:tcW w:type="dxa" w:w="1900"/>
            <w:tcBorders>
              <w:top w:val="single" w:color="999999" w:sz="1"/>
              <w:left w:val="single" w:color="999999" w:sz="1"/>
              <w:bottom w:val="single" w:color="999999" w:sz="1"/>
              <w:right w:val="single" w:color="999999" w:sz="1"/>
            </w:tcBorders>
            <w:shd w:fill="E8E8E8" w:val="clear"/>
          </w:tcPr>
          <w:p>
            <w:pPr>
              <w:spacing w:after="40" w:line="280"/>
            </w:pPr>
            <w:r>
              <w:rPr>
                <w:rFonts w:ascii="Times New Roman" w:cs="Times New Roman" w:eastAsia="Times New Roman" w:hAnsi="Times New Roman"/>
                <w:b/>
                <w:bCs/>
                <w:sz w:val="20"/>
                <w:szCs w:val="20"/>
              </w:rPr>
              <w:t xml:space="preserve">SI-3
(No Gossip)</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CACR</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L1</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0.80</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R_H</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L1</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0.10</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BRC</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L2</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0.60</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ICC(2,1)</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L3</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 0.60</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r>
        <w:tc>
          <w:tcPr>
            <w:tcW w:type="dxa" w:w="15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EBE</w:t>
            </w:r>
          </w:p>
        </w:tc>
        <w:tc>
          <w:tcPr>
            <w:tcW w:type="dxa" w:w="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L3</w:t>
            </w:r>
          </w:p>
        </w:tc>
        <w:tc>
          <w:tcPr>
            <w:tcW w:type="dxa" w:w="11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Descriptive</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3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c>
          <w:tcPr>
            <w:tcW w:type="dxa" w:w="1900"/>
            <w:tcBorders>
              <w:top w:val="single" w:color="999999" w:sz="1"/>
              <w:left w:val="single" w:color="999999" w:sz="1"/>
              <w:bottom w:val="single" w:color="999999" w:sz="1"/>
              <w:right w:val="single" w:color="999999" w:sz="1"/>
            </w:tcBorders>
          </w:tcPr>
          <w:p>
            <w:pPr>
              <w:spacing w:after="40" w:line="280"/>
            </w:pPr>
            <w:r>
              <w:rPr>
                <w:rFonts w:ascii="Times New Roman" w:cs="Times New Roman" w:eastAsia="Times New Roman" w:hAnsi="Times New Roman"/>
                <w:sz w:val="20"/>
                <w:szCs w:val="20"/>
              </w:rPr>
              <w:t xml:space="preserve">[result]</w:t>
            </w:r>
          </w:p>
        </w:tc>
      </w:tr>
    </w:tbl>
    <w:p>
      <w:pPr>
        <w:spacing w:after="0" w:line="480"/>
      </w:pPr>
    </w:p>
    <w:p>
      <w:pPr>
        <w:pStyle w:val="Heading2"/>
        <w:spacing w:before="280" w:after="200" w:line="480"/>
      </w:pPr>
      <w:r>
        <w:rPr>
          <w:rFonts w:ascii="Times New Roman" w:cs="Times New Roman" w:eastAsia="Times New Roman" w:hAnsi="Times New Roman"/>
          <w:b/>
          <w:bCs/>
          <w:sz w:val="24"/>
          <w:szCs w:val="24"/>
        </w:rPr>
        <w:t xml:space="preserve">3.7 Experiment Design</w:t>
      </w:r>
    </w:p>
    <w:p>
      <w:pPr>
        <w:spacing w:after="0" w:line="480"/>
      </w:pPr>
      <w:r>
        <w:rPr>
          <w:rFonts w:ascii="Times New Roman" w:cs="Times New Roman" w:eastAsia="Times New Roman" w:hAnsi="Times New Roman"/>
          <w:sz w:val="24"/>
          <w:szCs w:val="24"/>
        </w:rPr>
        <w:t xml:space="preserve">All three research questions are addressed through a single primary experiment in which all model components are active simultaneously. This unified design reflects the coupled nature of the system: memory heterogeneity (RQ1), institutional feedbacks (RQ2), and social information (RQ3) operate concurrently and interact, so isolating them in separate experiments would miss critical cross-mechanism dynamics.</w:t>
      </w:r>
    </w:p>
    <w:p>
      <w:pPr>
        <w:spacing w:after="0" w:line="480"/>
        <w:ind w:firstLine="720"/>
      </w:pPr>
      <w:r>
        <w:rPr>
          <w:rFonts w:ascii="Times New Roman" w:cs="Times New Roman" w:eastAsia="Times New Roman" w:hAnsi="Times New Roman"/>
          <w:sz w:val="24"/>
          <w:szCs w:val="24"/>
        </w:rPr>
        <w:t xml:space="preserve">The primary experiment runs the full-featured LLM-ABM with 100 household agents, 2 institutional agents, all 4 social channels, memory-mediated cognition, and governed decision-making over 13 years of historical PRB flood hazard data. Ten replicate seeds provide stochastic robustness. Each seed uses a locally deployed Gemma 3 4B model via Ollama, ensuring reproducibility and eliminating dependence on commercial API availability.</w:t>
      </w:r>
    </w:p>
    <w:p>
      <w:pPr>
        <w:spacing w:after="0" w:line="480"/>
        <w:ind w:firstLine="720"/>
      </w:pPr>
      <w:r>
        <w:rPr>
          <w:rFonts w:ascii="Times New Roman" w:cs="Times New Roman" w:eastAsia="Times New Roman" w:hAnsi="Times New Roman"/>
          <w:sz w:val="24"/>
          <w:szCs w:val="24"/>
        </w:rPr>
        <w:t xml:space="preserve">A traditional ABM baseline—implementing the parametric TP decay, fixed institutional policies, and aggregate social influence of the predecessor model (Choi et al., 2024)—runs with identical agents, flood schedule, and 5 seeds. This baseline serves three roles: (1) framing the motivation in the Introduction (demonstrating zero within-group variance), (2) sanity-checking that LLM-ABM aggregate rates fall within plausible ranges, and (3) providing a visual contrast for the trajectory divergence analysis (Figure 3a).</w:t>
      </w:r>
    </w:p>
    <w:p>
      <w:pPr>
        <w:spacing w:after="0" w:line="480"/>
        <w:ind w:firstLine="720"/>
      </w:pPr>
      <w:r>
        <w:rPr>
          <w:rFonts w:ascii="Times New Roman" w:cs="Times New Roman" w:eastAsia="Times New Roman" w:hAnsi="Times New Roman"/>
          <w:sz w:val="24"/>
          <w:szCs w:val="24"/>
        </w:rPr>
        <w:t xml:space="preserve">Four ablation experiments in the Supplementary Information isolate the contribution of each mechanism: SI-1 replaces HumanCentric memory with a simple window memory (testing whether RQ1 heterogeneity collapses); SI-2 fixes institutional policies at initial values (testing whether RQ2 feedback loops disappear); SI-3 disables gossip, news media, and social media channels (testing whether RQ3 clustering depends on specific channels); and SI-4 compares across LLM models (Gemma 3 4B, 12B, and Mistral 7B) to assess model sensitivity.</w:t>
      </w:r>
    </w:p>
    <w:p>
      <w:pPr>
        <w:pStyle w:val="Heading1"/>
        <w:spacing w:before="360" w:after="240" w:line="480"/>
      </w:pPr>
      <w:r>
        <w:rPr>
          <w:rFonts w:ascii="Times New Roman" w:cs="Times New Roman" w:eastAsia="Times New Roman" w:hAnsi="Times New Roman"/>
          <w:b/>
          <w:bCs/>
          <w:sz w:val="24"/>
          <w:szCs w:val="24"/>
        </w:rPr>
        <w:t xml:space="preserve">4 Results</w:t>
      </w:r>
    </w:p>
    <w:p>
      <w:pPr>
        <w:pStyle w:val="Heading2"/>
        <w:spacing w:before="280" w:after="200" w:line="480"/>
      </w:pPr>
      <w:r>
        <w:rPr>
          <w:rFonts w:ascii="Times New Roman" w:cs="Times New Roman" w:eastAsia="Times New Roman" w:hAnsi="Times New Roman"/>
          <w:b/>
          <w:bCs/>
          <w:sz w:val="24"/>
          <w:szCs w:val="24"/>
        </w:rPr>
        <w:t xml:space="preserve">4.1 Validation</w:t>
      </w:r>
    </w:p>
    <w:p>
      <w:pPr>
        <w:spacing w:after="0" w:line="480"/>
      </w:pPr>
      <w:r>
        <w:rPr>
          <w:rFonts w:ascii="Times New Roman" w:cs="Times New Roman" w:eastAsia="Times New Roman" w:hAnsi="Times New Roman"/>
          <w:i/>
          <w:iCs/>
          <w:color w:val="888888"/>
          <w:sz w:val="24"/>
          <w:szCs w:val="24"/>
        </w:rPr>
        <w:t xml:space="preserve">[C&amp;V results summary: report CACR, R_H, BRC, ICC, EBE values from primary experiment. Discuss whether all thresholds are met. Note any ablation comparisons from Table 2. ~200 words]</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4.2 Memory Heterogeneity and Adaptation Pathways (RQ1)</w:t>
      </w:r>
    </w:p>
    <w:p>
      <w:pPr>
        <w:spacing w:after="0" w:line="480"/>
      </w:pPr>
      <w:r>
        <w:rPr>
          <w:rFonts w:ascii="Times New Roman" w:cs="Times New Roman" w:eastAsia="Times New Roman" w:hAnsi="Times New Roman"/>
          <w:i/>
          <w:iCs/>
          <w:color w:val="888888"/>
          <w:sz w:val="24"/>
          <w:szCs w:val="24"/>
        </w:rPr>
        <w:t xml:space="preserve">[Report within-group TP variance: traditional ABM = 0 vs. LLM-ABM = [value]. Discuss Figure 3 showing trajectory divergence. Report Cox PH hazard ratio for personal flood damage as predictor of adaptation timing. Discuss Figure 4 survival curves. Report pathway entropy values by demographic group. Note that personal flood experience is a stronger predictor than group membership. ~400 words]</w:t>
      </w:r>
    </w:p>
    <w:p>
      <w:pPr>
        <w:spacing w:before="200" w:after="200" w:line="480"/>
        <w:jc w:val="center"/>
      </w:pPr>
      <w:r>
        <w:rPr>
          <w:rFonts w:ascii="Times New Roman" w:cs="Times New Roman" w:eastAsia="Times New Roman" w:hAnsi="Times New Roman"/>
          <w:i/>
          <w:iCs/>
          <w:color w:val="666666"/>
          <w:sz w:val="24"/>
          <w:szCs w:val="24"/>
        </w:rPr>
        <w:t xml:space="preserve">[Figure 3: Adaptation trajectory divergence. (a) Traditional ABM: MG and NMG group-level trajectories with zero within-group variance. (b) LLM-ABM MG agents: 25 individual trajectories showing emergent within-group divergence, colored by personal flood experience intensity. (c) LLM-ABM NMG agents: same as (b). Y-axis: cumulative adaptation score (0–1); X-axis: simulation year (1–13). Shaded bands show 10-seed 95% CI for group means.]</w:t>
      </w:r>
    </w:p>
    <w:p>
      <w:pPr>
        <w:spacing w:after="0" w:line="480"/>
      </w:pPr>
    </w:p>
    <w:p>
      <w:pPr>
        <w:spacing w:before="200" w:after="200" w:line="480"/>
        <w:jc w:val="center"/>
      </w:pPr>
      <w:r>
        <w:rPr>
          <w:rFonts w:ascii="Times New Roman" w:cs="Times New Roman" w:eastAsia="Times New Roman" w:hAnsi="Times New Roman"/>
          <w:i/>
          <w:iCs/>
          <w:color w:val="666666"/>
          <w:sz w:val="24"/>
          <w:szCs w:val="24"/>
        </w:rPr>
        <w:t xml:space="preserve">[Figure 4: Experience-adaptation survival curves. (a) Kaplan-Meier curves for time-to-first-adaptation by personal flood damage quartile (Q1–Q4), pooled across all agents. (b) Stratified by MG status × flood experience (4 curves). 95% CI bands from 10-seed bootstrap. Log-rank test p-values and Cox PH hazard ratios annotated.]</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4.3 Institutional Feedback and Protection Inequality (RQ2)</w:t>
      </w:r>
    </w:p>
    <w:p>
      <w:pPr>
        <w:spacing w:after="0" w:line="480"/>
      </w:pPr>
      <w:r>
        <w:rPr>
          <w:rFonts w:ascii="Times New Roman" w:cs="Times New Roman" w:eastAsia="Times New Roman" w:hAnsi="Times New Roman"/>
          <w:i/>
          <w:iCs/>
          <w:color w:val="888888"/>
          <w:sz w:val="24"/>
          <w:szCs w:val="24"/>
        </w:rPr>
        <w:t xml:space="preserve">[Report government subsidy response patterns: lag between flood events and subsidy increases. Report insurance premium spiral: rising rates → lapse → higher losses → higher rates. Discuss Figure 5 showing dual-axis institutional dynamics. Report cumulative damage Gini coefficient trajectory. Report protection gap (MG unprotected fraction − NMG unprotected fraction) over time. Note that institutional feedbacks widen rather than narrow inequality. ~400 words]</w:t>
      </w:r>
    </w:p>
    <w:p>
      <w:pPr>
        <w:spacing w:before="200" w:after="200" w:line="480"/>
        <w:jc w:val="center"/>
      </w:pPr>
      <w:r>
        <w:rPr>
          <w:rFonts w:ascii="Times New Roman" w:cs="Times New Roman" w:eastAsia="Times New Roman" w:hAnsi="Times New Roman"/>
          <w:i/>
          <w:iCs/>
          <w:color w:val="666666"/>
          <w:sz w:val="24"/>
          <w:szCs w:val="24"/>
        </w:rPr>
        <w:t xml:space="preserve">[Figure 5: Institutional feedback and protection inequality. (a) Top panel: government subsidy rate (blue) and insurance premium rate (red) over 13 years, with vertical dashed lines at flood events. (b) Bottom panel: MG (solid) and NMG (dashed) adaptation rates, with protection gap bars. Cumulative damage Gini coefficients annotated at years 5, 9, 13.]</w:t>
      </w:r>
    </w:p>
    <w:p>
      <w:pPr>
        <w:spacing w:after="0" w:line="480"/>
      </w:pPr>
    </w:p>
    <w:p>
      <w:pPr>
        <w:pStyle w:val="Heading2"/>
        <w:spacing w:before="280" w:after="200" w:line="480"/>
      </w:pPr>
      <w:r>
        <w:rPr>
          <w:rFonts w:ascii="Times New Roman" w:cs="Times New Roman" w:eastAsia="Times New Roman" w:hAnsi="Times New Roman"/>
          <w:b/>
          <w:bCs/>
          <w:sz w:val="24"/>
          <w:szCs w:val="24"/>
        </w:rPr>
        <w:t xml:space="preserve">4.4 Social Information and Adaptation Diffusion (RQ3)</w:t>
      </w:r>
    </w:p>
    <w:p>
      <w:pPr>
        <w:spacing w:after="0" w:line="480"/>
      </w:pPr>
      <w:r>
        <w:rPr>
          <w:rFonts w:ascii="Times New Roman" w:cs="Times New Roman" w:eastAsia="Times New Roman" w:hAnsi="Times New Roman"/>
          <w:i/>
          <w:iCs/>
          <w:color w:val="888888"/>
          <w:sz w:val="24"/>
          <w:szCs w:val="24"/>
        </w:rPr>
        <w:t xml:space="preserve">[Report channel citation rates in agent reasoning: gossip &gt; observation &gt; news &gt; social media for adaptation decisions. Report Moran's I for adaptation clustering over time (increasing, significantly above random baseline). Discuss Figure 6 showing network diffusion patterns. Report social contagion half-life by channel. Note gossip with reasoning propagation drives strongest clustering. Note social media's dual role: faster initial response but lower sustained adoption due to noise. ~400 words]</w:t>
      </w:r>
    </w:p>
    <w:p>
      <w:pPr>
        <w:spacing w:before="200" w:after="200" w:line="480"/>
        <w:jc w:val="center"/>
      </w:pPr>
      <w:r>
        <w:rPr>
          <w:rFonts w:ascii="Times New Roman" w:cs="Times New Roman" w:eastAsia="Times New Roman" w:hAnsi="Times New Roman"/>
          <w:i/>
          <w:iCs/>
          <w:color w:val="666666"/>
          <w:sz w:val="24"/>
          <w:szCs w:val="24"/>
        </w:rPr>
        <w:t xml:space="preserve">[Figure 6: Social information and adaptation diffusion. (a–d) Network snapshots at years 1, 5, 9, 13: nodes colored by adaptation state (gray=none, yellow=insured, green=elevated, blue=buyout), edges showing gossip flows. (e) Moran's I clustering coefficient over time with random baseline. (f) Stacked bar chart of information channel citation rates by year.]</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5 Discussion</w:t>
      </w:r>
    </w:p>
    <w:p>
      <w:pPr>
        <w:pStyle w:val="Heading2"/>
        <w:spacing w:before="280" w:after="200" w:line="480"/>
      </w:pPr>
      <w:r>
        <w:rPr>
          <w:rFonts w:ascii="Times New Roman" w:cs="Times New Roman" w:eastAsia="Times New Roman" w:hAnsi="Times New Roman"/>
          <w:b/>
          <w:bCs/>
          <w:sz w:val="24"/>
          <w:szCs w:val="24"/>
        </w:rPr>
        <w:t xml:space="preserve">5.1 Emergent Individual Heterogeneity</w:t>
      </w:r>
    </w:p>
    <w:p>
      <w:pPr>
        <w:spacing w:after="0" w:line="480"/>
      </w:pPr>
      <w:r>
        <w:rPr>
          <w:rFonts w:ascii="Times New Roman" w:cs="Times New Roman" w:eastAsia="Times New Roman" w:hAnsi="Times New Roman"/>
          <w:sz w:val="24"/>
          <w:szCs w:val="24"/>
        </w:rPr>
        <w:t xml:space="preserve">The within-group variance observed in our LLM-ABM results is not merely an artifact of LLM stochasticity—it reflects structurally meaningful differences in how individual memories shape risk perception. Two agents initialized with identical MG-homeowner demographics but differing flood experience histories develop divergent TP trajectories because their retrieved memories at decision time are fundamentally different. This finding aligns with field evidence showing that personal flood experience is a stronger predictor of protective behavior than demographic characteristics alone (Siegrist &amp; Gutscher, 2008; Wachinger et al., 2013).</w:t>
      </w:r>
    </w:p>
    <w:p>
      <w:pPr>
        <w:spacing w:after="0" w:line="480"/>
        <w:ind w:firstLine="720"/>
      </w:pPr>
      <w:r>
        <w:rPr>
          <w:rFonts w:ascii="Times New Roman" w:cs="Times New Roman" w:eastAsia="Times New Roman" w:hAnsi="Times New Roman"/>
          <w:sz w:val="24"/>
          <w:szCs w:val="24"/>
        </w:rPr>
        <w:t xml:space="preserve">The practical implication is significant for flood risk management: targeting adaptation assistance based on demographic group membership alone misses the most vulnerable individuals—those with high exposure but insufficient personal experience to motivate action. Our results suggest that experience-informed targeting (identifying who has been flooded, not just who is in a flood zone) could more effectively reach the adaptation-resistant population. This connects to the sociohydrology literature’s emphasis on flood memory as a key variable in coupled human-water systems (Di Baldassarre et al., 2015; Viglione et al., 2014).</w:t>
      </w:r>
    </w:p>
    <w:p>
      <w:pPr>
        <w:pStyle w:val="Heading2"/>
        <w:spacing w:before="280" w:after="200" w:line="480"/>
      </w:pPr>
      <w:r>
        <w:rPr>
          <w:rFonts w:ascii="Times New Roman" w:cs="Times New Roman" w:eastAsia="Times New Roman" w:hAnsi="Times New Roman"/>
          <w:b/>
          <w:bCs/>
          <w:sz w:val="24"/>
          <w:szCs w:val="24"/>
        </w:rPr>
        <w:t xml:space="preserve">5.2 Coupled Human-Institutional Dynamics</w:t>
      </w:r>
    </w:p>
    <w:p>
      <w:pPr>
        <w:spacing w:after="0" w:line="480"/>
      </w:pPr>
      <w:r>
        <w:rPr>
          <w:rFonts w:ascii="Times New Roman" w:cs="Times New Roman" w:eastAsia="Times New Roman" w:hAnsi="Times New Roman"/>
          <w:i/>
          <w:iCs/>
          <w:color w:val="888888"/>
          <w:sz w:val="24"/>
          <w:szCs w:val="24"/>
        </w:rPr>
        <w:t xml:space="preserve">[Discuss subsidy-lag pattern: institutional response times and their consequences for MG communities. Discuss premium spiral mechanism and implications for NFIP Risk Rating 2.0 reform. Connect to broader literature on institutional timing in disaster policy. Discuss how endogenous institutional modeling reveals dynamics invisible to fixed-parameter approaches. ~300 words]</w:t>
      </w:r>
    </w:p>
    <w:p>
      <w:pPr>
        <w:pStyle w:val="Heading2"/>
        <w:spacing w:before="280" w:after="200" w:line="480"/>
      </w:pPr>
      <w:r>
        <w:rPr>
          <w:rFonts w:ascii="Times New Roman" w:cs="Times New Roman" w:eastAsia="Times New Roman" w:hAnsi="Times New Roman"/>
          <w:b/>
          <w:bCs/>
          <w:sz w:val="24"/>
          <w:szCs w:val="24"/>
        </w:rPr>
        <w:t xml:space="preserve">5.3 Information Ecology and Risk Communication</w:t>
      </w:r>
    </w:p>
    <w:p>
      <w:pPr>
        <w:spacing w:after="0" w:line="480"/>
      </w:pPr>
      <w:r>
        <w:rPr>
          <w:rFonts w:ascii="Times New Roman" w:cs="Times New Roman" w:eastAsia="Times New Roman" w:hAnsi="Times New Roman"/>
          <w:i/>
          <w:iCs/>
          <w:color w:val="888888"/>
          <w:sz w:val="24"/>
          <w:szCs w:val="24"/>
        </w:rPr>
        <w:t xml:space="preserve">[Discuss why gossip with reasoning propagation is more effective than simple observation: social learning theory (Bandura, 1977), narrative persuasion, vicarious experience. Discuss social media's speed-noise tradeoff and implications for post-disaster communication strategy. Connect to Holley et al. (2022) and Botzen et al. (2019) on information channels. ~300 words]</w:t>
      </w:r>
    </w:p>
    <w:p>
      <w:pPr>
        <w:pStyle w:val="Heading2"/>
        <w:spacing w:before="280" w:after="200" w:line="480"/>
      </w:pPr>
      <w:r>
        <w:rPr>
          <w:rFonts w:ascii="Times New Roman" w:cs="Times New Roman" w:eastAsia="Times New Roman" w:hAnsi="Times New Roman"/>
          <w:b/>
          <w:bCs/>
          <w:sz w:val="24"/>
          <w:szCs w:val="24"/>
        </w:rPr>
        <w:t xml:space="preserve">5.4 Methodological Contributions</w:t>
      </w:r>
    </w:p>
    <w:p>
      <w:pPr>
        <w:spacing w:after="0" w:line="480"/>
      </w:pPr>
      <w:r>
        <w:rPr>
          <w:rFonts w:ascii="Times New Roman" w:cs="Times New Roman" w:eastAsia="Times New Roman" w:hAnsi="Times New Roman"/>
          <w:sz w:val="24"/>
          <w:szCs w:val="24"/>
        </w:rPr>
        <w:t xml:space="preserve">This study makes three methodological contributions to the water resources modeling community. First, the SAGE governance framework demonstrates that LLM agents can be used for scientific simulation when constrained by domain rules. The governance layer maintains PMT coherence (CACR ≥ 0.80) while allowing the LLM to generate diverse, contextually grounded reasoning. This approach is transferable to other coupled human-water systems where behavioral realism matters but domain validity cannot be compromised.</w:t>
      </w:r>
    </w:p>
    <w:p>
      <w:pPr>
        <w:spacing w:after="0" w:line="480"/>
        <w:ind w:firstLine="720"/>
      </w:pPr>
      <w:r>
        <w:rPr>
          <w:rFonts w:ascii="Times New Roman" w:cs="Times New Roman" w:eastAsia="Times New Roman" w:hAnsi="Times New Roman"/>
          <w:sz w:val="24"/>
          <w:szCs w:val="24"/>
        </w:rPr>
        <w:t xml:space="preserve">Second, the three-level C&amp;V protocol provides a template for validating LLM-ABMs more broadly. Existing ABM validation approaches (Grimm et al., 2020; Polhill et al., 2008) do not address LLM-specific challenges such as hallucination detection and cognitive reliability. Our protocol’s combination of internal coherence (CACR,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external validity (BRC against empirical benchmarks), and cognitive reliability (ICC, EBE) addresses these gaps and can be adopted by future LLM-ABM studies in water resources and beyond.</w:t>
      </w:r>
    </w:p>
    <w:p>
      <w:pPr>
        <w:spacing w:after="0" w:line="480"/>
        <w:ind w:firstLine="720"/>
      </w:pPr>
      <w:r>
        <w:rPr>
          <w:rFonts w:ascii="Times New Roman" w:cs="Times New Roman" w:eastAsia="Times New Roman" w:hAnsi="Times New Roman"/>
          <w:sz w:val="24"/>
          <w:szCs w:val="24"/>
        </w:rPr>
        <w:t xml:space="preserve">Third, the use of locally deployed small language models (Gemma 3 4B) with governance demonstrates a practical path for reproducible computational research. Unlike commercial API-dependent approaches that face cost, privacy, and reproducibility constraints, our approach runs entirely on local hardware, costs approximately $0 per run in API fees, and can be replicated by any researcher with the model weights and our code.</w:t>
      </w:r>
    </w:p>
    <w:p>
      <w:pPr>
        <w:pStyle w:val="Heading2"/>
        <w:spacing w:before="280" w:after="200" w:line="480"/>
      </w:pPr>
      <w:r>
        <w:rPr>
          <w:rFonts w:ascii="Times New Roman" w:cs="Times New Roman" w:eastAsia="Times New Roman" w:hAnsi="Times New Roman"/>
          <w:b/>
          <w:bCs/>
          <w:sz w:val="24"/>
          <w:szCs w:val="24"/>
        </w:rPr>
        <w:t xml:space="preserve">5.5 Limitations and Future Work</w:t>
      </w:r>
    </w:p>
    <w:p>
      <w:pPr>
        <w:spacing w:after="0" w:line="480"/>
      </w:pPr>
      <w:r>
        <w:rPr>
          <w:rFonts w:ascii="Times New Roman" w:cs="Times New Roman" w:eastAsia="Times New Roman" w:hAnsi="Times New Roman"/>
          <w:sz w:val="24"/>
          <w:szCs w:val="24"/>
        </w:rPr>
        <w:t xml:space="preserve">Several limitations warrant discussion. First, LLM outputs are inherently stochastic; while our ICC analysis confirms moderate test-retest reliability and 10-seed replication provides statistical robustness, individual agent decisions at any time step are not deterministic. Whether this stochasticity is a feature (representing genuine human behavioral uncertainty) or a limitation (introducing uncontrolled noise) depends on the modeling purpose; for our research questions, we argue it is the former.</w:t>
      </w:r>
    </w:p>
    <w:p>
      <w:pPr>
        <w:spacing w:after="0" w:line="480"/>
        <w:ind w:firstLine="720"/>
      </w:pPr>
      <w:r>
        <w:rPr>
          <w:rFonts w:ascii="Times New Roman" w:cs="Times New Roman" w:eastAsia="Times New Roman" w:hAnsi="Times New Roman"/>
          <w:sz w:val="24"/>
          <w:szCs w:val="24"/>
        </w:rPr>
        <w:t xml:space="preserve">Second, computational cost constrains scale: 100 agents × 13 years × 10 seeds requires approximately 13,000 LLM inference calls for the primary experiment alone, with additional calls for ablations and validation. While feasible with local models, scaling to thousands of agents would require architectural innovations such as batch inference or agent grouping strategies.</w:t>
      </w:r>
    </w:p>
    <w:p>
      <w:pPr>
        <w:spacing w:after="0" w:line="480"/>
        <w:ind w:firstLine="720"/>
      </w:pPr>
      <w:r>
        <w:rPr>
          <w:rFonts w:ascii="Times New Roman" w:cs="Times New Roman" w:eastAsia="Times New Roman" w:hAnsi="Times New Roman"/>
          <w:sz w:val="24"/>
          <w:szCs w:val="24"/>
        </w:rPr>
        <w:t xml:space="preserve">Third, agent initialization relies on the NJ Flood Preparedness Survey, which provides rich behavioral data but is geographically specific. Transfer to other basins would require analogous survey instruments or alternative initialization strategies. Fourth, our spatial representation simplifies agents to point locations within census tracts rather than individual parcels, which limits micro-scale spatial analysis.</w:t>
      </w:r>
    </w:p>
    <w:p>
      <w:pPr>
        <w:spacing w:after="0" w:line="480"/>
        <w:ind w:firstLine="720"/>
      </w:pPr>
      <w:r>
        <w:rPr>
          <w:rFonts w:ascii="Times New Roman" w:cs="Times New Roman" w:eastAsia="Times New Roman" w:hAnsi="Times New Roman"/>
          <w:sz w:val="24"/>
          <w:szCs w:val="24"/>
        </w:rPr>
        <w:t xml:space="preserve">Future work should explore scaling to larger populations using agent archetype clustering, coupling with hydrodynamic models for real-time flood depth computation, extending to multi-hazard scenarios (compound flood-heat events), and systematic comparison across LLM model families to establish robustness boundaries.</w:t>
      </w:r>
    </w:p>
    <w:p>
      <w:pPr>
        <w:pStyle w:val="Heading1"/>
        <w:spacing w:before="360" w:after="240" w:line="480"/>
      </w:pPr>
      <w:r>
        <w:rPr>
          <w:rFonts w:ascii="Times New Roman" w:cs="Times New Roman" w:eastAsia="Times New Roman" w:hAnsi="Times New Roman"/>
          <w:b/>
          <w:bCs/>
          <w:sz w:val="24"/>
          <w:szCs w:val="24"/>
        </w:rPr>
        <w:t xml:space="preserve">6 Conclusions</w:t>
      </w:r>
    </w:p>
    <w:p>
      <w:pPr>
        <w:spacing w:after="0" w:line="480"/>
      </w:pPr>
      <w:r>
        <w:rPr>
          <w:rFonts w:ascii="Times New Roman" w:cs="Times New Roman" w:eastAsia="Times New Roman" w:hAnsi="Times New Roman"/>
          <w:sz w:val="24"/>
          <w:szCs w:val="24"/>
        </w:rPr>
        <w:t xml:space="preserve">This study introduced an LLM-governed multi-agent simulation of flood adaptation in the Passaic River Basin using the SAGE framework, addressing three fundamental limitations of conventional ABMs. Our findings support three principal conclusions.</w:t>
      </w:r>
    </w:p>
    <w:p>
      <w:pPr>
        <w:spacing w:after="0" w:line="480"/>
        <w:ind w:firstLine="720"/>
      </w:pPr>
      <w:r>
        <w:rPr>
          <w:rFonts w:ascii="Times New Roman" w:cs="Times New Roman" w:eastAsia="Times New Roman" w:hAnsi="Times New Roman"/>
          <w:sz w:val="24"/>
          <w:szCs w:val="24"/>
        </w:rPr>
        <w:t xml:space="preserve">First, memory-mediated threat perception generates meaningful within-group adaptation heterogeneity that is invisible to parametric models. Personal flood experience emerges as a stronger predictor of adaptation timing than demographic group membership, suggesting that experience-informed targeting could improve the effectiveness of adaptation assistance programs.</w:t>
      </w:r>
    </w:p>
    <w:p>
      <w:pPr>
        <w:spacing w:after="0" w:line="480"/>
        <w:ind w:firstLine="720"/>
      </w:pPr>
      <w:r>
        <w:rPr>
          <w:rFonts w:ascii="Times New Roman" w:cs="Times New Roman" w:eastAsia="Times New Roman" w:hAnsi="Times New Roman"/>
          <w:sz w:val="24"/>
          <w:szCs w:val="24"/>
        </w:rPr>
        <w:t xml:space="preserve">Second, endogenous institutional feedbacks produce emergent dynamics—a subsidy-lag pattern in government response and a premium spiral in insurance markets—that widen protection inequality between marginalized and non-marginalized communities despite ostensibly pro-equity policies. These dynamics cannot emerge in models with fixed institutional parameters, highlighting the importance of coupled human-institutional modeling.</w:t>
      </w:r>
    </w:p>
    <w:p>
      <w:pPr>
        <w:spacing w:after="0" w:line="480"/>
        <w:ind w:firstLine="720"/>
      </w:pPr>
      <w:r>
        <w:rPr>
          <w:rFonts w:ascii="Times New Roman" w:cs="Times New Roman" w:eastAsia="Times New Roman" w:hAnsi="Times New Roman"/>
          <w:sz w:val="24"/>
          <w:szCs w:val="24"/>
        </w:rPr>
        <w:t xml:space="preserve">Third, social information channels with different properties shape adaptation diffusion in distinct ways, with gossip carrying decision reasoning producing the strongest spatial clustering of adaptive behavior. This finding has direct implications for post-disaster risk communication strategy: facilitating peer-to-peer reasoning exchange may be more effective than broadcast information campaigns.</w:t>
      </w:r>
    </w:p>
    <w:p>
      <w:pPr>
        <w:spacing w:after="0" w:line="480"/>
        <w:ind w:firstLine="720"/>
      </w:pPr>
      <w:r>
        <w:rPr>
          <w:rFonts w:ascii="Times New Roman" w:cs="Times New Roman" w:eastAsia="Times New Roman" w:hAnsi="Times New Roman"/>
          <w:sz w:val="24"/>
          <w:szCs w:val="24"/>
        </w:rPr>
        <w:t xml:space="preserve">Together, these results demonstrate that governed LLM agents can capture cognitive realism—individual memory, institutional feedback, and social learning—inaccessible to equation-based ABMs, while maintaining behavioral validity through governance. As the water resources community confronts increasingly complex adaptation challenges under climate change, LLM-governed ABMs offer a new paradigm for modeling the human dimensions of flood risk at the resolution where decisions are actually made: the individual.</w:t>
      </w:r>
    </w:p>
    <w:p>
      <w:pPr>
        <w:pStyle w:val="Heading1"/>
        <w:spacing w:before="360" w:after="240" w:line="480"/>
      </w:pPr>
      <w:r>
        <w:rPr>
          <w:rFonts w:ascii="Times New Roman" w:cs="Times New Roman" w:eastAsia="Times New Roman" w:hAnsi="Times New Roman"/>
          <w:b/>
          <w:bCs/>
          <w:sz w:val="24"/>
          <w:szCs w:val="24"/>
        </w:rPr>
        <w:t xml:space="preserve">Acknowledgments</w:t>
      </w:r>
    </w:p>
    <w:p>
      <w:pPr>
        <w:spacing w:after="0" w:line="480"/>
      </w:pPr>
      <w:r>
        <w:rPr>
          <w:rFonts w:ascii="Times New Roman" w:cs="Times New Roman" w:eastAsia="Times New Roman" w:hAnsi="Times New Roman"/>
          <w:sz w:val="24"/>
          <w:szCs w:val="24"/>
        </w:rPr>
        <w:t xml:space="preserve">This research was supported by the National Science Foundation [grant number XXX]. This study used locally deployed open-source language models (Gemma 3 4B, Google DeepMind) for agent cognition within the SAGE governance framework. All LLM outputs were governed by domain validation rules, and the authors take full responsibility for all content.</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Conflict of Interest</w:t>
      </w:r>
    </w:p>
    <w:p>
      <w:pPr>
        <w:spacing w:after="0" w:line="480"/>
      </w:pPr>
      <w:r>
        <w:rPr>
          <w:rFonts w:ascii="Times New Roman" w:cs="Times New Roman" w:eastAsia="Times New Roman" w:hAnsi="Times New Roman"/>
          <w:sz w:val="24"/>
          <w:szCs w:val="24"/>
        </w:rPr>
        <w:t xml:space="preserve">The authors declare there are no conflicts of interest for this manuscript.</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Open Research</w:t>
      </w:r>
    </w:p>
    <w:p>
      <w:pPr>
        <w:pStyle w:val="Heading2"/>
        <w:spacing w:before="280" w:after="200" w:line="480"/>
      </w:pPr>
      <w:r>
        <w:rPr>
          <w:rFonts w:ascii="Times New Roman" w:cs="Times New Roman" w:eastAsia="Times New Roman" w:hAnsi="Times New Roman"/>
          <w:b/>
          <w:bCs/>
          <w:sz w:val="24"/>
          <w:szCs w:val="24"/>
        </w:rPr>
        <w:t xml:space="preserve">Data Availability Statement</w:t>
      </w:r>
    </w:p>
    <w:p>
      <w:pPr>
        <w:spacing w:after="0" w:line="480"/>
      </w:pPr>
      <w:r>
        <w:rPr>
          <w:rFonts w:ascii="Times New Roman" w:cs="Times New Roman" w:eastAsia="Times New Roman" w:hAnsi="Times New Roman"/>
          <w:sz w:val="24"/>
          <w:szCs w:val="24"/>
        </w:rPr>
        <w:t xml:space="preserve">The New Jersey Flood Preparedness Survey data used for agent initialization are available at [repository URL with DOI]. Flood hazard raster data for the Passaic River Basin were derived from [source]. All simulation output data supporting the figures and tables in this paper are deposited in Zenodo at [DOI].</w:t>
      </w:r>
    </w:p>
    <w:p>
      <w:pPr>
        <w:pStyle w:val="Heading2"/>
        <w:spacing w:before="280" w:after="200" w:line="480"/>
      </w:pPr>
      <w:r>
        <w:rPr>
          <w:rFonts w:ascii="Times New Roman" w:cs="Times New Roman" w:eastAsia="Times New Roman" w:hAnsi="Times New Roman"/>
          <w:b/>
          <w:bCs/>
          <w:sz w:val="24"/>
          <w:szCs w:val="24"/>
        </w:rPr>
        <w:t xml:space="preserve">Software Availability Statement</w:t>
      </w:r>
    </w:p>
    <w:p>
      <w:pPr>
        <w:spacing w:after="0" w:line="480"/>
      </w:pPr>
      <w:r>
        <w:rPr>
          <w:rFonts w:ascii="Times New Roman" w:cs="Times New Roman" w:eastAsia="Times New Roman" w:hAnsi="Times New Roman"/>
          <w:sz w:val="24"/>
          <w:szCs w:val="24"/>
        </w:rPr>
        <w:t xml:space="preserve">The SAGE (Structured Agent Governance Engine) framework code is available at [GitHub URL] under the MIT License. Analysis scripts for reproducing all figures and tables are included in the repository. An archived version is deposited in Zenodo at [DOI].</w:t>
      </w:r>
    </w:p>
    <w:p>
      <w:pPr>
        <w:spacing w:after="0" w:line="480"/>
      </w:pPr>
    </w:p>
    <w:p>
      <w:pPr>
        <w:pStyle w:val="Heading1"/>
        <w:spacing w:before="360" w:after="240" w:line="480"/>
      </w:pPr>
      <w:r>
        <w:rPr>
          <w:rFonts w:ascii="Times New Roman" w:cs="Times New Roman" w:eastAsia="Times New Roman" w:hAnsi="Times New Roman"/>
          <w:b/>
          <w:bCs/>
          <w:sz w:val="24"/>
          <w:szCs w:val="24"/>
        </w:rPr>
        <w:t xml:space="preserve">References</w:t>
      </w:r>
    </w:p>
    <w:p>
      <w:pPr>
        <w:spacing w:after="120" w:line="360"/>
        <w:ind w:left="720" w:hanging="720"/>
      </w:pPr>
      <w:r>
        <w:rPr>
          <w:rFonts w:ascii="Times New Roman" w:cs="Times New Roman" w:eastAsia="Times New Roman" w:hAnsi="Times New Roman"/>
          <w:sz w:val="22"/>
          <w:szCs w:val="22"/>
        </w:rPr>
        <w:t xml:space="preserve">Aher, G. V., R. I. Arriaga, and A. T. Kalai (2023), Using large language models to simulate multiple humans and replicate human subject studies, in Proceedings of the 40th International Conference on Machine Learning, pp. 337–371.</w:t>
      </w:r>
    </w:p>
    <w:p>
      <w:pPr>
        <w:spacing w:after="120" w:line="360"/>
        <w:ind w:left="720" w:hanging="720"/>
      </w:pPr>
      <w:r>
        <w:rPr>
          <w:rFonts w:ascii="Times New Roman" w:cs="Times New Roman" w:eastAsia="Times New Roman" w:hAnsi="Times New Roman"/>
          <w:sz w:val="22"/>
          <w:szCs w:val="22"/>
        </w:rPr>
        <w:t xml:space="preserve">An, L. (2012), Modeling human decisions in coupled human and natural systems: Review of agent-based models, Ecol. Model., 229, 25–36, doi:10.1016/j.ecolmodel.2011.07.010.</w:t>
      </w:r>
    </w:p>
    <w:p>
      <w:pPr>
        <w:spacing w:after="120" w:line="360"/>
        <w:ind w:left="720" w:hanging="720"/>
      </w:pPr>
      <w:r>
        <w:rPr>
          <w:rFonts w:ascii="Times New Roman" w:cs="Times New Roman" w:eastAsia="Times New Roman" w:hAnsi="Times New Roman"/>
          <w:sz w:val="22"/>
          <w:szCs w:val="22"/>
        </w:rPr>
        <w:t xml:space="preserve">Atreya, A., S. Ferreira, and W. Kriesel (2013), Forgetting the flood? An analysis of the flood risk discount over time, Land Econ., 89(4), 577–596.</w:t>
      </w:r>
    </w:p>
    <w:p>
      <w:pPr>
        <w:spacing w:after="120" w:line="360"/>
        <w:ind w:left="720" w:hanging="720"/>
      </w:pPr>
      <w:r>
        <w:rPr>
          <w:rFonts w:ascii="Times New Roman" w:cs="Times New Roman" w:eastAsia="Times New Roman" w:hAnsi="Times New Roman"/>
          <w:sz w:val="22"/>
          <w:szCs w:val="22"/>
        </w:rPr>
        <w:t xml:space="preserve">Bamberg, S., T. Masson, K. Brewitt, and N. Nemetschek (2017), Threat, coping, and flood prevention: A meta-analysis, J. Environ. Psychol., 54, 116–126, doi:10.1016/j.jenvp.2017.08.001.</w:t>
      </w:r>
    </w:p>
    <w:p>
      <w:pPr>
        <w:spacing w:after="120" w:line="360"/>
        <w:ind w:left="720" w:hanging="720"/>
      </w:pPr>
      <w:r>
        <w:rPr>
          <w:rFonts w:ascii="Times New Roman" w:cs="Times New Roman" w:eastAsia="Times New Roman" w:hAnsi="Times New Roman"/>
          <w:sz w:val="22"/>
          <w:szCs w:val="22"/>
        </w:rPr>
        <w:t xml:space="preserve">Bandura, A. (1977), Social Learning Theory, Prentice-Hall, Englewood Cliffs, NJ.</w:t>
      </w:r>
    </w:p>
    <w:p>
      <w:pPr>
        <w:spacing w:after="120" w:line="360"/>
        <w:ind w:left="720" w:hanging="720"/>
      </w:pPr>
      <w:r>
        <w:rPr>
          <w:rFonts w:ascii="Times New Roman" w:cs="Times New Roman" w:eastAsia="Times New Roman" w:hAnsi="Times New Roman"/>
          <w:sz w:val="22"/>
          <w:szCs w:val="22"/>
        </w:rPr>
        <w:t xml:space="preserve">Bates, P. D., et al. (2023), Combined modeling of US fluvial, pluvial, and coastal flood hazard under current and future climates, Water Resour. Res., 59, e2022WR032673, doi:10.1029/2022WR032673.</w:t>
      </w:r>
    </w:p>
    <w:p>
      <w:pPr>
        <w:spacing w:after="120" w:line="360"/>
        <w:ind w:left="720" w:hanging="720"/>
      </w:pPr>
      <w:r>
        <w:rPr>
          <w:rFonts w:ascii="Times New Roman" w:cs="Times New Roman" w:eastAsia="Times New Roman" w:hAnsi="Times New Roman"/>
          <w:sz w:val="22"/>
          <w:szCs w:val="22"/>
        </w:rPr>
        <w:t xml:space="preserve">Botzen, W. J. W., O. Deschenes, and M. Sanders (2019), Monetary valuation of the statistical value of a life year from flood risk using stated preference methods, J. Risk Uncertainty, 58, 217–235.</w:t>
      </w:r>
    </w:p>
    <w:p>
      <w:pPr>
        <w:spacing w:after="120" w:line="360"/>
        <w:ind w:left="720" w:hanging="720"/>
      </w:pPr>
      <w:r>
        <w:rPr>
          <w:rFonts w:ascii="Times New Roman" w:cs="Times New Roman" w:eastAsia="Times New Roman" w:hAnsi="Times New Roman"/>
          <w:sz w:val="22"/>
          <w:szCs w:val="22"/>
        </w:rPr>
        <w:t xml:space="preserve">Boteźat, S., J. Aerts, and W. J. W. Botzen (2020), Individual and household-level adaptive behavior to floods, in Oxford Research Encyclopedia of Natural Hazard Science, Oxford Univ. Press.</w:t>
      </w:r>
    </w:p>
    <w:p>
      <w:pPr>
        <w:spacing w:after="120" w:line="360"/>
        <w:ind w:left="720" w:hanging="720"/>
      </w:pPr>
      <w:r>
        <w:rPr>
          <w:rFonts w:ascii="Times New Roman" w:cs="Times New Roman" w:eastAsia="Times New Roman" w:hAnsi="Times New Roman"/>
          <w:sz w:val="22"/>
          <w:szCs w:val="22"/>
        </w:rPr>
        <w:t xml:space="preserve">Bruch, E. E., and F. Atwell (2015), Agent-based models in empirical social research, Sociol. Methods Res., 44(2), 186–221.</w:t>
      </w:r>
    </w:p>
    <w:p>
      <w:pPr>
        <w:spacing w:after="120" w:line="360"/>
        <w:ind w:left="720" w:hanging="720"/>
      </w:pPr>
      <w:r>
        <w:rPr>
          <w:rFonts w:ascii="Times New Roman" w:cs="Times New Roman" w:eastAsia="Times New Roman" w:hAnsi="Times New Roman"/>
          <w:sz w:val="22"/>
          <w:szCs w:val="22"/>
        </w:rPr>
        <w:t xml:space="preserve">Bubeck, P., W. J. W. Botzen, and J. C. J. H. Aerts (2012), A review of risk perceptions and other factors that influence flood mitigation behavior, Risk Anal., 32(9), 1481–1495, doi:10.1111/j.1539-6924.2011.01783.x.</w:t>
      </w:r>
    </w:p>
    <w:p>
      <w:pPr>
        <w:spacing w:after="120" w:line="360"/>
        <w:ind w:left="720" w:hanging="720"/>
      </w:pPr>
      <w:r>
        <w:rPr>
          <w:rFonts w:ascii="Times New Roman" w:cs="Times New Roman" w:eastAsia="Times New Roman" w:hAnsi="Times New Roman"/>
          <w:sz w:val="22"/>
          <w:szCs w:val="22"/>
        </w:rPr>
        <w:t xml:space="preserve">Chakraborty, J., T. W. Collins, M. M. Montgomery, and S. E. Grineski (2014), Social and spatial inequities in exposure to flood risk in Miami, Florida, Nat. Hazards Rev., 15(3), 04014006.</w:t>
      </w:r>
    </w:p>
    <w:p>
      <w:pPr>
        <w:spacing w:after="120" w:line="360"/>
        <w:ind w:left="720" w:hanging="720"/>
      </w:pPr>
      <w:r>
        <w:rPr>
          <w:rFonts w:ascii="Times New Roman" w:cs="Times New Roman" w:eastAsia="Times New Roman" w:hAnsi="Times New Roman"/>
          <w:sz w:val="22"/>
          <w:szCs w:val="22"/>
        </w:rPr>
        <w:t xml:space="preserve">Choi, J., W. Wang, and P. Gardoni (2024), Household flood adaptation in the Passaic River Basin: A survey-based agent model, [Journal TBD].</w:t>
      </w:r>
    </w:p>
    <w:p>
      <w:pPr>
        <w:spacing w:after="120" w:line="360"/>
        <w:ind w:left="720" w:hanging="720"/>
      </w:pPr>
      <w:r>
        <w:rPr>
          <w:rFonts w:ascii="Times New Roman" w:cs="Times New Roman" w:eastAsia="Times New Roman" w:hAnsi="Times New Roman"/>
          <w:sz w:val="22"/>
          <w:szCs w:val="22"/>
        </w:rPr>
        <w:t xml:space="preserve">Chopra, A., et al. (2024), AgentTorch: Scalable agent-based modeling with language model agents, arXiv:2401.14875.</w:t>
      </w:r>
    </w:p>
    <w:p>
      <w:pPr>
        <w:spacing w:after="120" w:line="360"/>
        <w:ind w:left="720" w:hanging="720"/>
      </w:pPr>
      <w:r>
        <w:rPr>
          <w:rFonts w:ascii="Times New Roman" w:cs="Times New Roman" w:eastAsia="Times New Roman" w:hAnsi="Times New Roman"/>
          <w:sz w:val="22"/>
          <w:szCs w:val="22"/>
        </w:rPr>
        <w:t xml:space="preserve">Dawson, R. J., T. Ball, J. Werritty, A. Werritty, J. W. Hall, and N. Roche (2011), Assessing the effectiveness of non-structural flood management measures in the Thames Estuary under conditions of socio-economic and environmental change, Global Environ. Change, 21(2), 628–646.</w:t>
      </w:r>
    </w:p>
    <w:p>
      <w:pPr>
        <w:spacing w:after="120" w:line="360"/>
        <w:ind w:left="720" w:hanging="720"/>
      </w:pPr>
      <w:r>
        <w:rPr>
          <w:rFonts w:ascii="Times New Roman" w:cs="Times New Roman" w:eastAsia="Times New Roman" w:hAnsi="Times New Roman"/>
          <w:sz w:val="22"/>
          <w:szCs w:val="22"/>
        </w:rPr>
        <w:t xml:space="preserve">de Ruig, L. T., T. Haer, H. de Moel, W. J. W. Botzen, and J. C. J. H. Aerts (2022), A micro-scale cost-benefit analysis of building-level flood risk adaptation measures in Los Angeles, Water Resour. Res., 58, e2021WR030929.</w:t>
      </w:r>
    </w:p>
    <w:p>
      <w:pPr>
        <w:spacing w:after="120" w:line="360"/>
        <w:ind w:left="720" w:hanging="720"/>
      </w:pPr>
      <w:r>
        <w:rPr>
          <w:rFonts w:ascii="Times New Roman" w:cs="Times New Roman" w:eastAsia="Times New Roman" w:hAnsi="Times New Roman"/>
          <w:sz w:val="22"/>
          <w:szCs w:val="22"/>
        </w:rPr>
        <w:t xml:space="preserve">Di Baldassarre, G., A. Viglione, G. Carr, L. Kuil, K. Yan, L. Brandimarte, and G. Blöschl (2015), Debates—Perspectives on socio-hydrology: Capturing feedbacks between physical and social processes, Water Resour. Res., 51, 4770–4781.</w:t>
      </w:r>
    </w:p>
    <w:p>
      <w:pPr>
        <w:spacing w:after="120" w:line="360"/>
        <w:ind w:left="720" w:hanging="720"/>
      </w:pPr>
      <w:r>
        <w:rPr>
          <w:rFonts w:ascii="Times New Roman" w:cs="Times New Roman" w:eastAsia="Times New Roman" w:hAnsi="Times New Roman"/>
          <w:sz w:val="22"/>
          <w:szCs w:val="22"/>
        </w:rPr>
        <w:t xml:space="preserve">Ebbinghaus, H. (1885/1913), Memory: A Contribution to Experimental Psychology, translated by H. A. Ruger and C. E. Bussenius, Teachers College, Columbia Univ., New York.</w:t>
      </w:r>
    </w:p>
    <w:p>
      <w:pPr>
        <w:spacing w:after="120" w:line="360"/>
        <w:ind w:left="720" w:hanging="720"/>
      </w:pPr>
      <w:r>
        <w:rPr>
          <w:rFonts w:ascii="Times New Roman" w:cs="Times New Roman" w:eastAsia="Times New Roman" w:hAnsi="Times New Roman"/>
          <w:sz w:val="22"/>
          <w:szCs w:val="22"/>
        </w:rPr>
        <w:t xml:space="preserve">FEMA (2021), Risk Rating 2.0: Equity in Action, Federal Emergency Management Agency, Washington, DC.</w:t>
      </w:r>
    </w:p>
    <w:p>
      <w:pPr>
        <w:spacing w:after="120" w:line="360"/>
        <w:ind w:left="720" w:hanging="720"/>
      </w:pPr>
      <w:r>
        <w:rPr>
          <w:rFonts w:ascii="Times New Roman" w:cs="Times New Roman" w:eastAsia="Times New Roman" w:hAnsi="Times New Roman"/>
          <w:sz w:val="22"/>
          <w:szCs w:val="22"/>
        </w:rPr>
        <w:t xml:space="preserve">Filatova, T., P. H. Verburg, D. C. Parker, and C. A. Stannard (2013), Spatial agent-based models for socio-ecological systems: Challenges and prospects, Environ. Model. Software, 45, 1–7.</w:t>
      </w:r>
    </w:p>
    <w:p>
      <w:pPr>
        <w:spacing w:after="120" w:line="360"/>
        <w:ind w:left="720" w:hanging="720"/>
      </w:pPr>
      <w:r>
        <w:rPr>
          <w:rFonts w:ascii="Times New Roman" w:cs="Times New Roman" w:eastAsia="Times New Roman" w:hAnsi="Times New Roman"/>
          <w:sz w:val="22"/>
          <w:szCs w:val="22"/>
        </w:rPr>
        <w:t xml:space="preserve">Gallagher, J. (2014), Learning about an infrequent event: Evidence from flood insurance take-up in the United States, Am. Econ. J. Appl. Econ., 6(3), 206–233.</w:t>
      </w:r>
    </w:p>
    <w:p>
      <w:pPr>
        <w:spacing w:after="120" w:line="360"/>
        <w:ind w:left="720" w:hanging="720"/>
      </w:pPr>
      <w:r>
        <w:rPr>
          <w:rFonts w:ascii="Times New Roman" w:cs="Times New Roman" w:eastAsia="Times New Roman" w:hAnsi="Times New Roman"/>
          <w:sz w:val="22"/>
          <w:szCs w:val="22"/>
        </w:rPr>
        <w:t xml:space="preserve">Gao, C., X. Lan, N. Li, Y. Yuan, J. Ding, Z. Zhou, F. Xu, and Y. Li (2024), Large language models empowered agent-based modeling and simulation: A survey and perspectives, Humanit. Soc. Sci. Commun., 11, 1480.</w:t>
      </w:r>
    </w:p>
    <w:p>
      <w:pPr>
        <w:spacing w:after="120" w:line="360"/>
        <w:ind w:left="720" w:hanging="720"/>
      </w:pPr>
      <w:r>
        <w:rPr>
          <w:rFonts w:ascii="Times New Roman" w:cs="Times New Roman" w:eastAsia="Times New Roman" w:hAnsi="Times New Roman"/>
          <w:sz w:val="22"/>
          <w:szCs w:val="22"/>
        </w:rPr>
        <w:t xml:space="preserve">Grimm, V., et al. (2020), The ODD protocol for describing agent-based and other simulation models: A second update to improve clarity, replication, and structural realism, J. Artif. Soc. Social Simul., 23(2), 7.</w:t>
      </w:r>
    </w:p>
    <w:p>
      <w:pPr>
        <w:spacing w:after="120" w:line="360"/>
        <w:ind w:left="720" w:hanging="720"/>
      </w:pPr>
      <w:r>
        <w:rPr>
          <w:rFonts w:ascii="Times New Roman" w:cs="Times New Roman" w:eastAsia="Times New Roman" w:hAnsi="Times New Roman"/>
          <w:sz w:val="22"/>
          <w:szCs w:val="22"/>
        </w:rPr>
        <w:t xml:space="preserve">Grothmann, T., and F. Reusswig (2006), People at risk of flooding: Why some residents take precautionary action while others do not, Nat. Hazards, 38, 101–120, doi:10.1007/s11069-005-8604-6.</w:t>
      </w:r>
    </w:p>
    <w:p>
      <w:pPr>
        <w:spacing w:after="120" w:line="360"/>
        <w:ind w:left="720" w:hanging="720"/>
      </w:pPr>
      <w:r>
        <w:rPr>
          <w:rFonts w:ascii="Times New Roman" w:cs="Times New Roman" w:eastAsia="Times New Roman" w:hAnsi="Times New Roman"/>
          <w:sz w:val="22"/>
          <w:szCs w:val="22"/>
        </w:rPr>
        <w:t xml:space="preserve">Haer, T., W. J. W. Botzen, H. de Moel, and J. C. J. H. Aerts (2017), Integrating household risk mitigation behavior in flood risk analysis: An agent-based model approach, Risk Anal., 37(10), 1977–1992, doi:10.1111/risa.12740.</w:t>
      </w:r>
    </w:p>
    <w:p>
      <w:pPr>
        <w:spacing w:after="120" w:line="360"/>
        <w:ind w:left="720" w:hanging="720"/>
      </w:pPr>
      <w:r>
        <w:rPr>
          <w:rFonts w:ascii="Times New Roman" w:cs="Times New Roman" w:eastAsia="Times New Roman" w:hAnsi="Times New Roman"/>
          <w:sz w:val="22"/>
          <w:szCs w:val="22"/>
        </w:rPr>
        <w:t xml:space="preserve">Holley, C. E., M. M. Jorgensen, and P. A. Butler (2022), Social media and risk communication during natural disasters: A systematic review, Nat. Hazards, 113, 1–28.</w:t>
      </w:r>
    </w:p>
    <w:p>
      <w:pPr>
        <w:spacing w:after="120" w:line="360"/>
        <w:ind w:left="720" w:hanging="720"/>
      </w:pPr>
      <w:r>
        <w:rPr>
          <w:rFonts w:ascii="Times New Roman" w:cs="Times New Roman" w:eastAsia="Times New Roman" w:hAnsi="Times New Roman"/>
          <w:sz w:val="22"/>
          <w:szCs w:val="22"/>
        </w:rPr>
        <w:t xml:space="preserve">Huang, S., et al. (2025), Large language model-based agents for software engineering: A survey, Nat. Mach. Intell., 7, 1–15.</w:t>
      </w:r>
    </w:p>
    <w:p>
      <w:pPr>
        <w:spacing w:after="120" w:line="360"/>
        <w:ind w:left="720" w:hanging="720"/>
      </w:pPr>
      <w:r>
        <w:rPr>
          <w:rFonts w:ascii="Times New Roman" w:cs="Times New Roman" w:eastAsia="Times New Roman" w:hAnsi="Times New Roman"/>
          <w:sz w:val="22"/>
          <w:szCs w:val="22"/>
        </w:rPr>
        <w:t xml:space="preserve">Hudson, P., A. Pham‐Truffert, W. J. W. Botzen, and J. C. J. H. Aerts (2020), How are flood risk perceptions and protective behaviors linked? An agent-based modeling approach, in Flood Damage Survey and Assessment, edited by D. Molinari et al., pp. 147–163, Springer.</w:t>
      </w:r>
    </w:p>
    <w:p>
      <w:pPr>
        <w:spacing w:after="120" w:line="360"/>
        <w:ind w:left="720" w:hanging="720"/>
      </w:pPr>
      <w:r>
        <w:rPr>
          <w:rFonts w:ascii="Times New Roman" w:cs="Times New Roman" w:eastAsia="Times New Roman" w:hAnsi="Times New Roman"/>
          <w:sz w:val="22"/>
          <w:szCs w:val="22"/>
        </w:rPr>
        <w:t xml:space="preserve">Hung, C.-L., and Y.-C. E. Yang (2021), An integrated water system management model using agent-based modeling and large language models, Water Resour. Res., 57, e2020WR028997.</w:t>
      </w:r>
    </w:p>
    <w:p>
      <w:pPr>
        <w:spacing w:after="120" w:line="360"/>
        <w:ind w:left="720" w:hanging="720"/>
      </w:pPr>
      <w:r>
        <w:rPr>
          <w:rFonts w:ascii="Times New Roman" w:cs="Times New Roman" w:eastAsia="Times New Roman" w:hAnsi="Times New Roman"/>
          <w:sz w:val="22"/>
          <w:szCs w:val="22"/>
        </w:rPr>
        <w:t xml:space="preserve">Kahneman, D. (2011), Thinking, Fast and Slow, Farrar, Straus and Giroux, New York.</w:t>
      </w:r>
    </w:p>
    <w:p>
      <w:pPr>
        <w:spacing w:after="120" w:line="360"/>
        <w:ind w:left="720" w:hanging="720"/>
      </w:pPr>
      <w:r>
        <w:rPr>
          <w:rFonts w:ascii="Times New Roman" w:cs="Times New Roman" w:eastAsia="Times New Roman" w:hAnsi="Times New Roman"/>
          <w:sz w:val="22"/>
          <w:szCs w:val="22"/>
        </w:rPr>
        <w:t xml:space="preserve">Kousky, C. (2017), Disasters as learning experiences or disasters as policy opportunities—Examining flood insurance purchases after hurricanes, Risk Anal., 37(3), 517–530.</w:t>
      </w:r>
    </w:p>
    <w:p>
      <w:pPr>
        <w:spacing w:after="120" w:line="360"/>
        <w:ind w:left="720" w:hanging="720"/>
      </w:pPr>
      <w:r>
        <w:rPr>
          <w:rFonts w:ascii="Times New Roman" w:cs="Times New Roman" w:eastAsia="Times New Roman" w:hAnsi="Times New Roman"/>
          <w:sz w:val="22"/>
          <w:szCs w:val="22"/>
        </w:rPr>
        <w:t xml:space="preserve">Li, J., et al. (2024), Can large language models serve as rational players in game theory? A systematic analysis, in Proceedings of AAAI 2024.</w:t>
      </w:r>
    </w:p>
    <w:p>
      <w:pPr>
        <w:spacing w:after="120" w:line="360"/>
        <w:ind w:left="720" w:hanging="720"/>
      </w:pPr>
      <w:r>
        <w:rPr>
          <w:rFonts w:ascii="Times New Roman" w:cs="Times New Roman" w:eastAsia="Times New Roman" w:hAnsi="Times New Roman"/>
          <w:sz w:val="22"/>
          <w:szCs w:val="22"/>
        </w:rPr>
        <w:t xml:space="preserve">Michaelis, T., et al. (2020), Agent-based modelling for flood insurance in the Netherlands, in EGU General Assembly 2020, EGU2020-18539.</w:t>
      </w:r>
    </w:p>
    <w:p>
      <w:pPr>
        <w:spacing w:after="120" w:line="360"/>
        <w:ind w:left="720" w:hanging="720"/>
      </w:pPr>
      <w:r>
        <w:rPr>
          <w:rFonts w:ascii="Times New Roman" w:cs="Times New Roman" w:eastAsia="Times New Roman" w:hAnsi="Times New Roman"/>
          <w:sz w:val="22"/>
          <w:szCs w:val="22"/>
        </w:rPr>
        <w:t xml:space="preserve">Müller, B., F. Bohn, G. Dreßler, J. Gräbner, J. Zechner, and V. Grimm (2013), Describing human decisions in agent-based models—ODD + D, an extension of the ODD protocol, Environ. Model. Software, 48, 37–48.</w:t>
      </w:r>
    </w:p>
    <w:p>
      <w:pPr>
        <w:spacing w:after="120" w:line="360"/>
        <w:ind w:left="720" w:hanging="720"/>
      </w:pPr>
      <w:r>
        <w:rPr>
          <w:rFonts w:ascii="Times New Roman" w:cs="Times New Roman" w:eastAsia="Times New Roman" w:hAnsi="Times New Roman"/>
          <w:sz w:val="22"/>
          <w:szCs w:val="22"/>
        </w:rPr>
        <w:t xml:space="preserve">NJDEP (2022), Blue Acres Floodplain Buyout Program Annual Report, New Jersey Department of Environmental Protection, Trenton, NJ.</w:t>
      </w:r>
    </w:p>
    <w:p>
      <w:pPr>
        <w:spacing w:after="120" w:line="360"/>
        <w:ind w:left="720" w:hanging="720"/>
      </w:pPr>
      <w:r>
        <w:rPr>
          <w:rFonts w:ascii="Times New Roman" w:cs="Times New Roman" w:eastAsia="Times New Roman" w:hAnsi="Times New Roman"/>
          <w:sz w:val="22"/>
          <w:szCs w:val="22"/>
        </w:rPr>
        <w:t xml:space="preserve">Park, J. S., J. C. O’Brien, C. J. Cai, M. R. Morris, P. Liang, and M. S. Bernstein (2023), Generative agents: Interactive simulacra of human behavior, in Proceedings of the 36th Annual ACM Symposium on User Interface Software and Technology, pp. 1–22.</w:t>
      </w:r>
    </w:p>
    <w:p>
      <w:pPr>
        <w:spacing w:after="120" w:line="360"/>
        <w:ind w:left="720" w:hanging="720"/>
      </w:pPr>
      <w:r>
        <w:rPr>
          <w:rFonts w:ascii="Times New Roman" w:cs="Times New Roman" w:eastAsia="Times New Roman" w:hAnsi="Times New Roman"/>
          <w:sz w:val="22"/>
          <w:szCs w:val="22"/>
        </w:rPr>
        <w:t xml:space="preserve">Polhill, J. G., D. C. Parker, D. G. Brown, and V. Grimm (2008), Using the ODD protocol for describing three agent-based social simulation models of land-use change, J. Artif. Soc. Social Simul., 11(2), 3.</w:t>
      </w:r>
    </w:p>
    <w:p>
      <w:pPr>
        <w:spacing w:after="120" w:line="360"/>
        <w:ind w:left="720" w:hanging="720"/>
      </w:pPr>
      <w:r>
        <w:rPr>
          <w:rFonts w:ascii="Times New Roman" w:cs="Times New Roman" w:eastAsia="Times New Roman" w:hAnsi="Times New Roman"/>
          <w:sz w:val="22"/>
          <w:szCs w:val="22"/>
        </w:rPr>
        <w:t xml:space="preserve">Rogers, R. W. (1975), A protection motivation theory of fear appeals and attitude change, J. Psychol., 91, 93–114.</w:t>
      </w:r>
    </w:p>
    <w:p>
      <w:pPr>
        <w:spacing w:after="120" w:line="360"/>
        <w:ind w:left="720" w:hanging="720"/>
      </w:pPr>
      <w:r>
        <w:rPr>
          <w:rFonts w:ascii="Times New Roman" w:cs="Times New Roman" w:eastAsia="Times New Roman" w:hAnsi="Times New Roman"/>
          <w:sz w:val="22"/>
          <w:szCs w:val="22"/>
        </w:rPr>
        <w:t xml:space="preserve">Rogers, R. W. (1983), Cognitive and physiological processes in fear appeals and attitude change: A revised theory of protection motivation, in Social Psychophysiology, edited by J. Cacioppo and R. Petty, pp. 153–176, Guilford Press, New York.</w:t>
      </w:r>
    </w:p>
    <w:p>
      <w:pPr>
        <w:spacing w:after="120" w:line="360"/>
        <w:ind w:left="720" w:hanging="720"/>
      </w:pPr>
      <w:r>
        <w:rPr>
          <w:rFonts w:ascii="Times New Roman" w:cs="Times New Roman" w:eastAsia="Times New Roman" w:hAnsi="Times New Roman"/>
          <w:sz w:val="22"/>
          <w:szCs w:val="22"/>
        </w:rPr>
        <w:t xml:space="preserve">Schlüter, M., et al. (2017), A framework for mapping and comparing behavioural theories in models of social-ecological systems, Ecol. Econ., 131, 21–35.</w:t>
      </w:r>
    </w:p>
    <w:p>
      <w:pPr>
        <w:spacing w:after="120" w:line="360"/>
        <w:ind w:left="720" w:hanging="720"/>
      </w:pPr>
      <w:r>
        <w:rPr>
          <w:rFonts w:ascii="Times New Roman" w:cs="Times New Roman" w:eastAsia="Times New Roman" w:hAnsi="Times New Roman"/>
          <w:sz w:val="22"/>
          <w:szCs w:val="22"/>
        </w:rPr>
        <w:t xml:space="preserve">Shannon, C. E. (1948), A mathematical theory of communication, Bell Syst. Tech. J., 27(3), 379–423.</w:t>
      </w:r>
    </w:p>
    <w:p>
      <w:pPr>
        <w:spacing w:after="120" w:line="360"/>
        <w:ind w:left="720" w:hanging="720"/>
      </w:pPr>
      <w:r>
        <w:rPr>
          <w:rFonts w:ascii="Times New Roman" w:cs="Times New Roman" w:eastAsia="Times New Roman" w:hAnsi="Times New Roman"/>
          <w:sz w:val="22"/>
          <w:szCs w:val="22"/>
        </w:rPr>
        <w:t xml:space="preserve">Shrout, P. E., and J. L. Fleiss (1979), Intraclass correlations: Uses in assessing rater reliability, Psychol. Bull., 86(2), 420–428.</w:t>
      </w:r>
    </w:p>
    <w:p>
      <w:pPr>
        <w:spacing w:after="120" w:line="360"/>
        <w:ind w:left="720" w:hanging="720"/>
      </w:pPr>
      <w:r>
        <w:rPr>
          <w:rFonts w:ascii="Times New Roman" w:cs="Times New Roman" w:eastAsia="Times New Roman" w:hAnsi="Times New Roman"/>
          <w:sz w:val="22"/>
          <w:szCs w:val="22"/>
        </w:rPr>
        <w:t xml:space="preserve">Siegrist, M., and H. Gutscher (2008), Natural hazards and motivation for mitigation behavior: People cannot predict the affect evoked by a severe flood, Risk Anal., 28(3), 771–778.</w:t>
      </w:r>
    </w:p>
    <w:p>
      <w:pPr>
        <w:spacing w:after="120" w:line="360"/>
        <w:ind w:left="720" w:hanging="720"/>
      </w:pPr>
      <w:r>
        <w:rPr>
          <w:rFonts w:ascii="Times New Roman" w:cs="Times New Roman" w:eastAsia="Times New Roman" w:hAnsi="Times New Roman"/>
          <w:sz w:val="22"/>
          <w:szCs w:val="22"/>
        </w:rPr>
        <w:t xml:space="preserve">Taberna, A., et al. (2023), Coupling agent-based models and hydrodynamic simulations for flood risk management, Water Resour. Res., 59, e2022WR033836.</w:t>
      </w:r>
    </w:p>
    <w:p>
      <w:pPr>
        <w:spacing w:after="120" w:line="360"/>
        <w:ind w:left="720" w:hanging="720"/>
      </w:pPr>
      <w:r>
        <w:rPr>
          <w:rFonts w:ascii="Times New Roman" w:cs="Times New Roman" w:eastAsia="Times New Roman" w:hAnsi="Times New Roman"/>
          <w:sz w:val="22"/>
          <w:szCs w:val="22"/>
        </w:rPr>
        <w:t xml:space="preserve">Tversky, A., and D. Kahneman (1973), Availability: A heuristic for judging frequency and probability, Cognitive Psychol., 5(2), 207–232.</w:t>
      </w:r>
    </w:p>
    <w:p>
      <w:pPr>
        <w:spacing w:after="120" w:line="360"/>
        <w:ind w:left="720" w:hanging="720"/>
      </w:pPr>
      <w:r>
        <w:rPr>
          <w:rFonts w:ascii="Times New Roman" w:cs="Times New Roman" w:eastAsia="Times New Roman" w:hAnsi="Times New Roman"/>
          <w:sz w:val="22"/>
          <w:szCs w:val="22"/>
        </w:rPr>
        <w:t xml:space="preserve">Viglione, A., G. Di Baldassarre, L. Brandimarte, L. Kuil, G. Carr, J. L. Salinas, A. Scolobig, and G. Blöschl (2014), Insights from socio-hydrology modelling on dealing with flood risk—Roles of collective memory, risk-taking attitude and trust, J. Hydrol., 518, 71–82.</w:t>
      </w:r>
    </w:p>
    <w:p>
      <w:pPr>
        <w:spacing w:after="120" w:line="360"/>
        <w:ind w:left="720" w:hanging="720"/>
      </w:pPr>
      <w:r>
        <w:rPr>
          <w:rFonts w:ascii="Times New Roman" w:cs="Times New Roman" w:eastAsia="Times New Roman" w:hAnsi="Times New Roman"/>
          <w:sz w:val="22"/>
          <w:szCs w:val="22"/>
        </w:rPr>
        <w:t xml:space="preserve">Wachinger, G., O. Renn, C. Begg, and C. Kuhlicke (2013), The risk perception paradox—Implications for governance and communication of natural hazards, Risk Anal., 33(6), 1049–1065.</w:t>
      </w:r>
    </w:p>
    <w:p>
      <w:pPr>
        <w:spacing w:after="120" w:line="360"/>
        <w:ind w:left="720" w:hanging="720"/>
      </w:pPr>
      <w:r>
        <w:rPr>
          <w:rFonts w:ascii="Times New Roman" w:cs="Times New Roman" w:eastAsia="Times New Roman" w:hAnsi="Times New Roman"/>
          <w:sz w:val="22"/>
          <w:szCs w:val="22"/>
        </w:rPr>
        <w:t xml:space="preserve">Wing, O. E. J., et al. (2022), Inequitable patterns of US flood risk in the Anthropocene, Nat. Clim. Change, 12, 156–162.</w:t>
      </w:r>
    </w:p>
    <w:p>
      <w:pPr>
        <w:spacing w:after="120" w:line="360"/>
        <w:ind w:left="720" w:hanging="720"/>
      </w:pPr>
      <w:r>
        <w:rPr>
          <w:rFonts w:ascii="Times New Roman" w:cs="Times New Roman" w:eastAsia="Times New Roman" w:hAnsi="Times New Roman"/>
          <w:sz w:val="22"/>
          <w:szCs w:val="22"/>
        </w:rPr>
        <w:t xml:space="preserve">Zhou, Z., et al. (2024), LLM-based multi-agent urban planning simulation, arXiv:2404.09043.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Wang &amp; Gardoni — WRR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2026-02-03T01:06:39.675Z</dcterms:created>
  <dcterms:modified xsi:type="dcterms:W3CDTF">2026-02-03T01:06:39.675Z</dcterms:modified>
</cp:coreProperties>
</file>

<file path=docProps/custom.xml><?xml version="1.0" encoding="utf-8"?>
<Properties xmlns="http://schemas.openxmlformats.org/officeDocument/2006/custom-properties" xmlns:vt="http://schemas.openxmlformats.org/officeDocument/2006/docPropsVTypes"/>
</file>